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37A99" w:rsidRPr="00537E40" w:rsidRDefault="00643255" w:rsidP="00020B35">
      <w:pPr>
        <w:spacing w:after="0"/>
        <w:jc w:val="right"/>
      </w:pPr>
      <w:r w:rsidRPr="00625963">
        <w:rPr>
          <w:noProof/>
          <w:lang w:eastAsia="en-AU"/>
        </w:rPr>
        <w:drawing>
          <wp:inline distT="0" distB="0" distL="0" distR="0" wp14:anchorId="3F65FB7C" wp14:editId="07777777">
            <wp:extent cx="986790" cy="960120"/>
            <wp:effectExtent l="0" t="0" r="0"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60120"/>
                    </a:xfrm>
                    <a:prstGeom prst="rect">
                      <a:avLst/>
                    </a:prstGeom>
                    <a:noFill/>
                    <a:ln>
                      <a:noFill/>
                    </a:ln>
                  </pic:spPr>
                </pic:pic>
              </a:graphicData>
            </a:graphic>
          </wp:inline>
        </w:drawing>
      </w:r>
    </w:p>
    <w:p w14:paraId="6310957D" w14:textId="77777777" w:rsidR="000742EB" w:rsidRPr="00917227" w:rsidRDefault="007949CF" w:rsidP="00D60FD1">
      <w:pPr>
        <w:pStyle w:val="Subtitle"/>
        <w:spacing w:before="3360"/>
        <w:rPr>
          <w:sz w:val="36"/>
          <w:szCs w:val="36"/>
        </w:rPr>
      </w:pPr>
      <w:bookmarkStart w:id="0" w:name="_Toc403992342"/>
      <w:bookmarkStart w:id="1" w:name="_Toc403992578"/>
      <w:bookmarkStart w:id="2" w:name="_Toc403992662"/>
      <w:r w:rsidRPr="00537E40">
        <w:t>City of Melbourne</w:t>
      </w:r>
      <w:r w:rsidR="000742EB">
        <w:t xml:space="preserve"> </w:t>
      </w:r>
      <w:r w:rsidRPr="00537E40">
        <w:t>Population and Jobs Forecasts</w:t>
      </w:r>
      <w:bookmarkEnd w:id="0"/>
      <w:bookmarkEnd w:id="1"/>
      <w:bookmarkEnd w:id="2"/>
      <w:r w:rsidR="00E91B42">
        <w:t xml:space="preserve"> 2021-2041</w:t>
      </w:r>
    </w:p>
    <w:p w14:paraId="5F85B705" w14:textId="77777777" w:rsidR="000F3535" w:rsidRDefault="001B3AA2" w:rsidP="001B51BF">
      <w:pPr>
        <w:pStyle w:val="Subtitle"/>
      </w:pPr>
      <w:r w:rsidRPr="00537E40">
        <w:t xml:space="preserve">Summary </w:t>
      </w:r>
      <w:r w:rsidR="001D104E">
        <w:t>r</w:t>
      </w:r>
      <w:r w:rsidR="0049069D" w:rsidRPr="00537E40">
        <w:t xml:space="preserve">eport </w:t>
      </w:r>
      <w:r w:rsidR="00E91B42">
        <w:t>2022</w:t>
      </w:r>
    </w:p>
    <w:p w14:paraId="406425CA" w14:textId="77777777" w:rsidR="00B152AF" w:rsidRPr="00537E40" w:rsidRDefault="00020B35" w:rsidP="00020B35">
      <w:pPr>
        <w:pStyle w:val="TOCHeading"/>
        <w:rPr>
          <w:rFonts w:hint="eastAsia"/>
        </w:rPr>
      </w:pPr>
      <w:r w:rsidRPr="00537E40">
        <w:br w:type="page"/>
      </w:r>
      <w:bookmarkStart w:id="3" w:name="_Toc403992663"/>
      <w:bookmarkStart w:id="4" w:name="_Toc403992345"/>
      <w:bookmarkStart w:id="5" w:name="_Toc403992580"/>
      <w:r w:rsidR="00B152AF" w:rsidRPr="00537E40">
        <w:lastRenderedPageBreak/>
        <w:t>Contents</w:t>
      </w:r>
      <w:bookmarkEnd w:id="3"/>
    </w:p>
    <w:p w14:paraId="0A97B095" w14:textId="6087AF60" w:rsidR="00A37CEC" w:rsidRDefault="00B152AF" w:rsidP="110985B9">
      <w:pPr>
        <w:pStyle w:val="TOC1"/>
        <w:tabs>
          <w:tab w:val="right" w:leader="dot" w:pos="9769"/>
        </w:tabs>
        <w:rPr>
          <w:rFonts w:asciiTheme="minorHAnsi" w:eastAsiaTheme="minorEastAsia" w:hAnsiTheme="minorHAnsi" w:cstheme="minorBidi"/>
          <w:noProof/>
          <w:sz w:val="22"/>
          <w:szCs w:val="22"/>
          <w:lang w:eastAsia="en-AU"/>
        </w:rPr>
      </w:pPr>
      <w:r w:rsidRPr="00537E40">
        <w:fldChar w:fldCharType="begin"/>
      </w:r>
      <w:r w:rsidRPr="00537E40">
        <w:instrText xml:space="preserve"> TOC \o "1-3" \h \z \u </w:instrText>
      </w:r>
      <w:r w:rsidRPr="00537E40">
        <w:fldChar w:fldCharType="separate"/>
      </w:r>
      <w:hyperlink w:anchor="_Toc119682377" w:history="1">
        <w:r w:rsidR="00A37CEC" w:rsidRPr="003C5726">
          <w:rPr>
            <w:rStyle w:val="Hyperlink"/>
            <w:noProof/>
          </w:rPr>
          <w:t>Introduction</w:t>
        </w:r>
        <w:r>
          <w:tab/>
        </w:r>
        <w:r w:rsidRPr="110985B9">
          <w:rPr>
            <w:noProof/>
          </w:rPr>
          <w:fldChar w:fldCharType="begin"/>
        </w:r>
        <w:r w:rsidRPr="110985B9">
          <w:rPr>
            <w:noProof/>
          </w:rPr>
          <w:instrText xml:space="preserve"> PAGEREF _Toc119682377 \h </w:instrText>
        </w:r>
        <w:r w:rsidRPr="110985B9">
          <w:rPr>
            <w:noProof/>
          </w:rPr>
        </w:r>
        <w:r w:rsidRPr="110985B9">
          <w:rPr>
            <w:noProof/>
          </w:rPr>
          <w:fldChar w:fldCharType="separate"/>
        </w:r>
        <w:r w:rsidR="00AB0BF3">
          <w:rPr>
            <w:noProof/>
          </w:rPr>
          <w:t>4</w:t>
        </w:r>
        <w:r w:rsidRPr="110985B9">
          <w:rPr>
            <w:noProof/>
          </w:rPr>
          <w:fldChar w:fldCharType="end"/>
        </w:r>
      </w:hyperlink>
    </w:p>
    <w:p w14:paraId="3A910CA8" w14:textId="00C5655E" w:rsidR="00A37CEC" w:rsidRDefault="0075075B" w:rsidP="110985B9">
      <w:pPr>
        <w:pStyle w:val="TOC1"/>
        <w:tabs>
          <w:tab w:val="right" w:leader="dot" w:pos="9769"/>
        </w:tabs>
        <w:rPr>
          <w:rFonts w:asciiTheme="minorHAnsi" w:eastAsiaTheme="minorEastAsia" w:hAnsiTheme="minorHAnsi" w:cstheme="minorBidi"/>
          <w:noProof/>
          <w:sz w:val="22"/>
          <w:szCs w:val="22"/>
          <w:lang w:eastAsia="en-AU"/>
        </w:rPr>
      </w:pPr>
      <w:hyperlink w:anchor="_Toc119682378" w:history="1">
        <w:r w:rsidR="00A37CEC" w:rsidRPr="003C5726">
          <w:rPr>
            <w:rStyle w:val="Hyperlink"/>
            <w:noProof/>
          </w:rPr>
          <w:t>Summary</w:t>
        </w:r>
        <w:r w:rsidR="00A37CEC">
          <w:tab/>
        </w:r>
        <w:r w:rsidR="00A37CEC" w:rsidRPr="110985B9">
          <w:rPr>
            <w:noProof/>
          </w:rPr>
          <w:fldChar w:fldCharType="begin"/>
        </w:r>
        <w:r w:rsidR="00A37CEC" w:rsidRPr="110985B9">
          <w:rPr>
            <w:noProof/>
          </w:rPr>
          <w:instrText xml:space="preserve"> PAGEREF _Toc119682378 \h </w:instrText>
        </w:r>
        <w:r w:rsidR="00A37CEC" w:rsidRPr="110985B9">
          <w:rPr>
            <w:noProof/>
          </w:rPr>
        </w:r>
        <w:r w:rsidR="00A37CEC" w:rsidRPr="110985B9">
          <w:rPr>
            <w:noProof/>
          </w:rPr>
          <w:fldChar w:fldCharType="separate"/>
        </w:r>
        <w:r w:rsidR="00AB0BF3">
          <w:rPr>
            <w:noProof/>
          </w:rPr>
          <w:t>4</w:t>
        </w:r>
        <w:r w:rsidR="00A37CEC" w:rsidRPr="110985B9">
          <w:rPr>
            <w:noProof/>
          </w:rPr>
          <w:fldChar w:fldCharType="end"/>
        </w:r>
      </w:hyperlink>
    </w:p>
    <w:p w14:paraId="4407C681" w14:textId="20BE8CBB" w:rsidR="00A37CEC" w:rsidRDefault="0075075B" w:rsidP="110985B9">
      <w:pPr>
        <w:pStyle w:val="TOC2"/>
        <w:rPr>
          <w:rFonts w:asciiTheme="minorHAnsi" w:eastAsiaTheme="minorEastAsia" w:hAnsiTheme="minorHAnsi" w:cstheme="minorBidi"/>
          <w:noProof/>
          <w:sz w:val="22"/>
          <w:szCs w:val="22"/>
          <w:lang w:eastAsia="en-AU"/>
        </w:rPr>
      </w:pPr>
      <w:hyperlink w:anchor="_Toc119682379" w:history="1">
        <w:r w:rsidR="00A37CEC" w:rsidRPr="003C5726">
          <w:rPr>
            <w:rStyle w:val="Hyperlink"/>
            <w:noProof/>
          </w:rPr>
          <w:t>Melbourne municipality: Forecasts 2021, 2031 and 2041</w:t>
        </w:r>
        <w:r w:rsidR="00A37CEC">
          <w:tab/>
        </w:r>
        <w:r w:rsidR="00A37CEC" w:rsidRPr="110985B9">
          <w:rPr>
            <w:noProof/>
          </w:rPr>
          <w:fldChar w:fldCharType="begin"/>
        </w:r>
        <w:r w:rsidR="00A37CEC" w:rsidRPr="110985B9">
          <w:rPr>
            <w:noProof/>
          </w:rPr>
          <w:instrText xml:space="preserve"> PAGEREF _Toc119682379 \h </w:instrText>
        </w:r>
        <w:r w:rsidR="00A37CEC" w:rsidRPr="110985B9">
          <w:rPr>
            <w:noProof/>
          </w:rPr>
        </w:r>
        <w:r w:rsidR="00A37CEC" w:rsidRPr="110985B9">
          <w:rPr>
            <w:noProof/>
          </w:rPr>
          <w:fldChar w:fldCharType="separate"/>
        </w:r>
        <w:r w:rsidR="00AB0BF3">
          <w:rPr>
            <w:noProof/>
          </w:rPr>
          <w:t>4</w:t>
        </w:r>
        <w:r w:rsidR="00A37CEC" w:rsidRPr="110985B9">
          <w:rPr>
            <w:noProof/>
          </w:rPr>
          <w:fldChar w:fldCharType="end"/>
        </w:r>
      </w:hyperlink>
    </w:p>
    <w:p w14:paraId="01E2CA0C" w14:textId="5BF537A3" w:rsidR="00A37CEC" w:rsidRDefault="0075075B" w:rsidP="110985B9">
      <w:pPr>
        <w:pStyle w:val="TOC2"/>
        <w:rPr>
          <w:rFonts w:asciiTheme="minorHAnsi" w:eastAsiaTheme="minorEastAsia" w:hAnsiTheme="minorHAnsi" w:cstheme="minorBidi"/>
          <w:noProof/>
          <w:sz w:val="22"/>
          <w:szCs w:val="22"/>
          <w:lang w:eastAsia="en-AU"/>
        </w:rPr>
      </w:pPr>
      <w:hyperlink w:anchor="_Toc119682380" w:history="1">
        <w:r w:rsidR="00A37CEC" w:rsidRPr="003C5726">
          <w:rPr>
            <w:rStyle w:val="Hyperlink"/>
            <w:noProof/>
          </w:rPr>
          <w:t>Population and jobs growth by area</w:t>
        </w:r>
        <w:r w:rsidR="00A37CEC">
          <w:tab/>
        </w:r>
        <w:r w:rsidR="00A37CEC" w:rsidRPr="110985B9">
          <w:rPr>
            <w:noProof/>
          </w:rPr>
          <w:fldChar w:fldCharType="begin"/>
        </w:r>
        <w:r w:rsidR="00A37CEC" w:rsidRPr="110985B9">
          <w:rPr>
            <w:noProof/>
          </w:rPr>
          <w:instrText xml:space="preserve"> PAGEREF _Toc119682380 \h </w:instrText>
        </w:r>
        <w:r w:rsidR="00A37CEC" w:rsidRPr="110985B9">
          <w:rPr>
            <w:noProof/>
          </w:rPr>
        </w:r>
        <w:r w:rsidR="00A37CEC" w:rsidRPr="110985B9">
          <w:rPr>
            <w:noProof/>
          </w:rPr>
          <w:fldChar w:fldCharType="separate"/>
        </w:r>
        <w:r w:rsidR="00AB0BF3">
          <w:rPr>
            <w:noProof/>
          </w:rPr>
          <w:t>4</w:t>
        </w:r>
        <w:r w:rsidR="00A37CEC" w:rsidRPr="110985B9">
          <w:rPr>
            <w:noProof/>
          </w:rPr>
          <w:fldChar w:fldCharType="end"/>
        </w:r>
      </w:hyperlink>
    </w:p>
    <w:p w14:paraId="1A660BC5" w14:textId="494C21F8" w:rsidR="00A37CEC" w:rsidRDefault="0075075B" w:rsidP="110985B9">
      <w:pPr>
        <w:pStyle w:val="TOC2"/>
        <w:rPr>
          <w:rFonts w:asciiTheme="minorHAnsi" w:eastAsiaTheme="minorEastAsia" w:hAnsiTheme="minorHAnsi" w:cstheme="minorBidi"/>
          <w:noProof/>
          <w:sz w:val="22"/>
          <w:szCs w:val="22"/>
          <w:lang w:eastAsia="en-AU"/>
        </w:rPr>
      </w:pPr>
      <w:hyperlink w:anchor="_Toc119682381" w:history="1">
        <w:r w:rsidR="00A37CEC" w:rsidRPr="003C5726">
          <w:rPr>
            <w:rStyle w:val="Hyperlink"/>
            <w:noProof/>
          </w:rPr>
          <w:t>Jobs by service</w:t>
        </w:r>
        <w:r w:rsidR="00A37CEC">
          <w:tab/>
        </w:r>
        <w:r w:rsidR="00A37CEC" w:rsidRPr="110985B9">
          <w:rPr>
            <w:noProof/>
          </w:rPr>
          <w:fldChar w:fldCharType="begin"/>
        </w:r>
        <w:r w:rsidR="00A37CEC" w:rsidRPr="110985B9">
          <w:rPr>
            <w:noProof/>
          </w:rPr>
          <w:instrText xml:space="preserve"> PAGEREF _Toc119682381 \h </w:instrText>
        </w:r>
        <w:r w:rsidR="00A37CEC" w:rsidRPr="110985B9">
          <w:rPr>
            <w:noProof/>
          </w:rPr>
        </w:r>
        <w:r w:rsidR="00A37CEC" w:rsidRPr="110985B9">
          <w:rPr>
            <w:noProof/>
          </w:rPr>
          <w:fldChar w:fldCharType="separate"/>
        </w:r>
        <w:r w:rsidR="00AB0BF3">
          <w:rPr>
            <w:noProof/>
          </w:rPr>
          <w:t>5</w:t>
        </w:r>
        <w:r w:rsidR="00A37CEC" w:rsidRPr="110985B9">
          <w:rPr>
            <w:noProof/>
          </w:rPr>
          <w:fldChar w:fldCharType="end"/>
        </w:r>
      </w:hyperlink>
    </w:p>
    <w:p w14:paraId="50A4F60F" w14:textId="4977BC6B" w:rsidR="00A37CEC" w:rsidRDefault="0075075B" w:rsidP="110985B9">
      <w:pPr>
        <w:pStyle w:val="TOC2"/>
        <w:rPr>
          <w:rFonts w:asciiTheme="minorHAnsi" w:eastAsiaTheme="minorEastAsia" w:hAnsiTheme="minorHAnsi" w:cstheme="minorBidi"/>
          <w:noProof/>
          <w:sz w:val="22"/>
          <w:szCs w:val="22"/>
          <w:lang w:eastAsia="en-AU"/>
        </w:rPr>
      </w:pPr>
      <w:hyperlink w:anchor="_Toc119682382" w:history="1">
        <w:r w:rsidR="00A37CEC" w:rsidRPr="003C5726">
          <w:rPr>
            <w:rStyle w:val="Hyperlink"/>
            <w:noProof/>
          </w:rPr>
          <w:t>Floor space (employment)</w:t>
        </w:r>
        <w:r w:rsidR="00A37CEC">
          <w:tab/>
        </w:r>
        <w:r w:rsidR="00A37CEC" w:rsidRPr="110985B9">
          <w:rPr>
            <w:noProof/>
          </w:rPr>
          <w:fldChar w:fldCharType="begin"/>
        </w:r>
        <w:r w:rsidR="00A37CEC" w:rsidRPr="110985B9">
          <w:rPr>
            <w:noProof/>
          </w:rPr>
          <w:instrText xml:space="preserve"> PAGEREF _Toc119682382 \h </w:instrText>
        </w:r>
        <w:r w:rsidR="00A37CEC" w:rsidRPr="110985B9">
          <w:rPr>
            <w:noProof/>
          </w:rPr>
        </w:r>
        <w:r w:rsidR="00A37CEC" w:rsidRPr="110985B9">
          <w:rPr>
            <w:noProof/>
          </w:rPr>
          <w:fldChar w:fldCharType="separate"/>
        </w:r>
        <w:r w:rsidR="00AB0BF3">
          <w:rPr>
            <w:noProof/>
          </w:rPr>
          <w:t>5</w:t>
        </w:r>
        <w:r w:rsidR="00A37CEC" w:rsidRPr="110985B9">
          <w:rPr>
            <w:noProof/>
          </w:rPr>
          <w:fldChar w:fldCharType="end"/>
        </w:r>
      </w:hyperlink>
    </w:p>
    <w:p w14:paraId="2913C3B8" w14:textId="16A7B1CD" w:rsidR="00A37CEC" w:rsidRDefault="0075075B" w:rsidP="110985B9">
      <w:pPr>
        <w:pStyle w:val="TOC1"/>
        <w:tabs>
          <w:tab w:val="right" w:leader="dot" w:pos="9769"/>
        </w:tabs>
        <w:rPr>
          <w:rFonts w:asciiTheme="minorHAnsi" w:eastAsiaTheme="minorEastAsia" w:hAnsiTheme="minorHAnsi" w:cstheme="minorBidi"/>
          <w:noProof/>
          <w:sz w:val="22"/>
          <w:szCs w:val="22"/>
          <w:lang w:eastAsia="en-AU"/>
        </w:rPr>
      </w:pPr>
      <w:hyperlink w:anchor="_Toc119682383" w:history="1">
        <w:r w:rsidR="00A37CEC" w:rsidRPr="003C5726">
          <w:rPr>
            <w:rStyle w:val="Hyperlink"/>
            <w:noProof/>
          </w:rPr>
          <w:t>Method</w:t>
        </w:r>
        <w:r w:rsidR="00A37CEC">
          <w:tab/>
        </w:r>
        <w:r w:rsidR="00A37CEC" w:rsidRPr="110985B9">
          <w:rPr>
            <w:noProof/>
          </w:rPr>
          <w:fldChar w:fldCharType="begin"/>
        </w:r>
        <w:r w:rsidR="00A37CEC" w:rsidRPr="110985B9">
          <w:rPr>
            <w:noProof/>
          </w:rPr>
          <w:instrText xml:space="preserve"> PAGEREF _Toc119682383 \h </w:instrText>
        </w:r>
        <w:r w:rsidR="00A37CEC" w:rsidRPr="110985B9">
          <w:rPr>
            <w:noProof/>
          </w:rPr>
        </w:r>
        <w:r w:rsidR="00A37CEC" w:rsidRPr="110985B9">
          <w:rPr>
            <w:noProof/>
          </w:rPr>
          <w:fldChar w:fldCharType="separate"/>
        </w:r>
        <w:r w:rsidR="00AB0BF3">
          <w:rPr>
            <w:noProof/>
          </w:rPr>
          <w:t>5</w:t>
        </w:r>
        <w:r w:rsidR="00A37CEC" w:rsidRPr="110985B9">
          <w:rPr>
            <w:noProof/>
          </w:rPr>
          <w:fldChar w:fldCharType="end"/>
        </w:r>
      </w:hyperlink>
    </w:p>
    <w:p w14:paraId="13295F84" w14:textId="14049EDF" w:rsidR="00A37CEC" w:rsidRDefault="0075075B" w:rsidP="110985B9">
      <w:pPr>
        <w:pStyle w:val="TOC1"/>
        <w:tabs>
          <w:tab w:val="right" w:leader="dot" w:pos="9769"/>
        </w:tabs>
        <w:rPr>
          <w:rFonts w:asciiTheme="minorHAnsi" w:eastAsiaTheme="minorEastAsia" w:hAnsiTheme="minorHAnsi" w:cstheme="minorBidi"/>
          <w:noProof/>
          <w:sz w:val="22"/>
          <w:szCs w:val="22"/>
          <w:lang w:eastAsia="en-AU"/>
        </w:rPr>
      </w:pPr>
      <w:hyperlink w:anchor="_Toc119682384" w:history="1">
        <w:r w:rsidR="00A37CEC" w:rsidRPr="003C5726">
          <w:rPr>
            <w:rStyle w:val="Hyperlink"/>
            <w:noProof/>
          </w:rPr>
          <w:t>COVID-19 context</w:t>
        </w:r>
        <w:r w:rsidR="00A37CEC">
          <w:tab/>
        </w:r>
        <w:r w:rsidR="00A37CEC" w:rsidRPr="110985B9">
          <w:rPr>
            <w:noProof/>
          </w:rPr>
          <w:fldChar w:fldCharType="begin"/>
        </w:r>
        <w:r w:rsidR="00A37CEC" w:rsidRPr="110985B9">
          <w:rPr>
            <w:noProof/>
          </w:rPr>
          <w:instrText xml:space="preserve"> PAGEREF _Toc119682384 \h </w:instrText>
        </w:r>
        <w:r w:rsidR="00A37CEC" w:rsidRPr="110985B9">
          <w:rPr>
            <w:noProof/>
          </w:rPr>
        </w:r>
        <w:r w:rsidR="00A37CEC" w:rsidRPr="110985B9">
          <w:rPr>
            <w:noProof/>
          </w:rPr>
          <w:fldChar w:fldCharType="separate"/>
        </w:r>
        <w:r w:rsidR="00AB0BF3">
          <w:rPr>
            <w:noProof/>
          </w:rPr>
          <w:t>6</w:t>
        </w:r>
        <w:r w:rsidR="00A37CEC" w:rsidRPr="110985B9">
          <w:rPr>
            <w:noProof/>
          </w:rPr>
          <w:fldChar w:fldCharType="end"/>
        </w:r>
      </w:hyperlink>
    </w:p>
    <w:p w14:paraId="09CE8718" w14:textId="585AC165" w:rsidR="00A37CEC" w:rsidRDefault="0075075B" w:rsidP="110985B9">
      <w:pPr>
        <w:pStyle w:val="TOC1"/>
        <w:tabs>
          <w:tab w:val="right" w:leader="dot" w:pos="9769"/>
        </w:tabs>
        <w:rPr>
          <w:rFonts w:asciiTheme="minorHAnsi" w:eastAsiaTheme="minorEastAsia" w:hAnsiTheme="minorHAnsi" w:cstheme="minorBidi"/>
          <w:noProof/>
          <w:sz w:val="22"/>
          <w:szCs w:val="22"/>
          <w:lang w:eastAsia="en-AU"/>
        </w:rPr>
      </w:pPr>
      <w:hyperlink w:anchor="_Toc119682385" w:history="1">
        <w:r w:rsidR="00A37CEC" w:rsidRPr="003C5726">
          <w:rPr>
            <w:rStyle w:val="Hyperlink"/>
            <w:noProof/>
          </w:rPr>
          <w:t>Forecast assumptions</w:t>
        </w:r>
        <w:r w:rsidR="00A37CEC">
          <w:tab/>
        </w:r>
        <w:r w:rsidR="00A37CEC" w:rsidRPr="110985B9">
          <w:rPr>
            <w:noProof/>
          </w:rPr>
          <w:fldChar w:fldCharType="begin"/>
        </w:r>
        <w:r w:rsidR="00A37CEC" w:rsidRPr="110985B9">
          <w:rPr>
            <w:noProof/>
          </w:rPr>
          <w:instrText xml:space="preserve"> PAGEREF _Toc119682385 \h </w:instrText>
        </w:r>
        <w:r w:rsidR="00A37CEC" w:rsidRPr="110985B9">
          <w:rPr>
            <w:noProof/>
          </w:rPr>
        </w:r>
        <w:r w:rsidR="00A37CEC" w:rsidRPr="110985B9">
          <w:rPr>
            <w:noProof/>
          </w:rPr>
          <w:fldChar w:fldCharType="separate"/>
        </w:r>
        <w:r w:rsidR="00AB0BF3">
          <w:rPr>
            <w:noProof/>
          </w:rPr>
          <w:t>6</w:t>
        </w:r>
        <w:r w:rsidR="00A37CEC" w:rsidRPr="110985B9">
          <w:rPr>
            <w:noProof/>
          </w:rPr>
          <w:fldChar w:fldCharType="end"/>
        </w:r>
      </w:hyperlink>
    </w:p>
    <w:p w14:paraId="7336E3F0" w14:textId="7E4C3BB7" w:rsidR="00A37CEC" w:rsidRDefault="0075075B" w:rsidP="110985B9">
      <w:pPr>
        <w:pStyle w:val="TOC2"/>
        <w:rPr>
          <w:rFonts w:asciiTheme="minorHAnsi" w:eastAsiaTheme="minorEastAsia" w:hAnsiTheme="minorHAnsi" w:cstheme="minorBidi"/>
          <w:noProof/>
          <w:sz w:val="22"/>
          <w:szCs w:val="22"/>
          <w:lang w:eastAsia="en-AU"/>
        </w:rPr>
      </w:pPr>
      <w:hyperlink w:anchor="_Toc119682386" w:history="1">
        <w:r w:rsidR="00A37CEC" w:rsidRPr="003C5726">
          <w:rPr>
            <w:rStyle w:val="Hyperlink"/>
            <w:noProof/>
          </w:rPr>
          <w:t>Victoria and Greater Melbourne context</w:t>
        </w:r>
        <w:r w:rsidR="00A37CEC">
          <w:tab/>
        </w:r>
        <w:r w:rsidR="00A37CEC" w:rsidRPr="110985B9">
          <w:rPr>
            <w:noProof/>
          </w:rPr>
          <w:fldChar w:fldCharType="begin"/>
        </w:r>
        <w:r w:rsidR="00A37CEC" w:rsidRPr="110985B9">
          <w:rPr>
            <w:noProof/>
          </w:rPr>
          <w:instrText xml:space="preserve"> PAGEREF _Toc119682386 \h </w:instrText>
        </w:r>
        <w:r w:rsidR="00A37CEC" w:rsidRPr="110985B9">
          <w:rPr>
            <w:noProof/>
          </w:rPr>
        </w:r>
        <w:r w:rsidR="00A37CEC" w:rsidRPr="110985B9">
          <w:rPr>
            <w:noProof/>
          </w:rPr>
          <w:fldChar w:fldCharType="separate"/>
        </w:r>
        <w:r w:rsidR="00AB0BF3">
          <w:rPr>
            <w:noProof/>
          </w:rPr>
          <w:t>6</w:t>
        </w:r>
        <w:r w:rsidR="00A37CEC" w:rsidRPr="110985B9">
          <w:rPr>
            <w:noProof/>
          </w:rPr>
          <w:fldChar w:fldCharType="end"/>
        </w:r>
      </w:hyperlink>
    </w:p>
    <w:p w14:paraId="0CFF64D8" w14:textId="701970CD" w:rsidR="00A37CEC" w:rsidRDefault="0075075B" w:rsidP="110985B9">
      <w:pPr>
        <w:pStyle w:val="TOC2"/>
        <w:rPr>
          <w:rFonts w:asciiTheme="minorHAnsi" w:eastAsiaTheme="minorEastAsia" w:hAnsiTheme="minorHAnsi" w:cstheme="minorBidi"/>
          <w:noProof/>
          <w:sz w:val="22"/>
          <w:szCs w:val="22"/>
          <w:lang w:eastAsia="en-AU"/>
        </w:rPr>
      </w:pPr>
      <w:hyperlink w:anchor="_Toc119682387" w:history="1">
        <w:r w:rsidR="00A37CEC" w:rsidRPr="003C5726">
          <w:rPr>
            <w:rStyle w:val="Hyperlink"/>
            <w:noProof/>
          </w:rPr>
          <w:t>City of Melbourne specific assumptions</w:t>
        </w:r>
        <w:r w:rsidR="00A37CEC">
          <w:tab/>
        </w:r>
        <w:r w:rsidR="00A37CEC" w:rsidRPr="110985B9">
          <w:rPr>
            <w:noProof/>
          </w:rPr>
          <w:fldChar w:fldCharType="begin"/>
        </w:r>
        <w:r w:rsidR="00A37CEC" w:rsidRPr="110985B9">
          <w:rPr>
            <w:noProof/>
          </w:rPr>
          <w:instrText xml:space="preserve"> PAGEREF _Toc119682387 \h </w:instrText>
        </w:r>
        <w:r w:rsidR="00A37CEC" w:rsidRPr="110985B9">
          <w:rPr>
            <w:noProof/>
          </w:rPr>
        </w:r>
        <w:r w:rsidR="00A37CEC" w:rsidRPr="110985B9">
          <w:rPr>
            <w:noProof/>
          </w:rPr>
          <w:fldChar w:fldCharType="separate"/>
        </w:r>
        <w:r w:rsidR="00AB0BF3">
          <w:rPr>
            <w:noProof/>
          </w:rPr>
          <w:t>7</w:t>
        </w:r>
        <w:r w:rsidR="00A37CEC" w:rsidRPr="110985B9">
          <w:rPr>
            <w:noProof/>
          </w:rPr>
          <w:fldChar w:fldCharType="end"/>
        </w:r>
      </w:hyperlink>
    </w:p>
    <w:p w14:paraId="64028681" w14:textId="53D91CF8" w:rsidR="00A37CEC" w:rsidRDefault="0075075B" w:rsidP="110985B9">
      <w:pPr>
        <w:pStyle w:val="TOC2"/>
        <w:rPr>
          <w:rFonts w:asciiTheme="minorHAnsi" w:eastAsiaTheme="minorEastAsia" w:hAnsiTheme="minorHAnsi" w:cstheme="minorBidi"/>
          <w:noProof/>
          <w:sz w:val="22"/>
          <w:szCs w:val="22"/>
          <w:lang w:eastAsia="en-AU"/>
        </w:rPr>
      </w:pPr>
      <w:hyperlink w:anchor="_Toc119682388" w:history="1">
        <w:r w:rsidR="00A37CEC" w:rsidRPr="003C5726">
          <w:rPr>
            <w:rStyle w:val="Hyperlink"/>
            <w:noProof/>
          </w:rPr>
          <w:t>Macro assumptions</w:t>
        </w:r>
        <w:r w:rsidR="00A37CEC">
          <w:tab/>
        </w:r>
        <w:r w:rsidR="00A37CEC" w:rsidRPr="110985B9">
          <w:rPr>
            <w:noProof/>
          </w:rPr>
          <w:fldChar w:fldCharType="begin"/>
        </w:r>
        <w:r w:rsidR="00A37CEC" w:rsidRPr="110985B9">
          <w:rPr>
            <w:noProof/>
          </w:rPr>
          <w:instrText xml:space="preserve"> PAGEREF _Toc119682388 \h </w:instrText>
        </w:r>
        <w:r w:rsidR="00A37CEC" w:rsidRPr="110985B9">
          <w:rPr>
            <w:noProof/>
          </w:rPr>
        </w:r>
        <w:r w:rsidR="00A37CEC" w:rsidRPr="110985B9">
          <w:rPr>
            <w:noProof/>
          </w:rPr>
          <w:fldChar w:fldCharType="separate"/>
        </w:r>
        <w:r w:rsidR="00AB0BF3">
          <w:rPr>
            <w:noProof/>
          </w:rPr>
          <w:t>7</w:t>
        </w:r>
        <w:r w:rsidR="00A37CEC" w:rsidRPr="110985B9">
          <w:rPr>
            <w:noProof/>
          </w:rPr>
          <w:fldChar w:fldCharType="end"/>
        </w:r>
      </w:hyperlink>
    </w:p>
    <w:p w14:paraId="05D51495" w14:textId="6DA2C1F7" w:rsidR="00A37CEC" w:rsidRDefault="0075075B" w:rsidP="110985B9">
      <w:pPr>
        <w:pStyle w:val="TOC2"/>
        <w:rPr>
          <w:rFonts w:asciiTheme="minorHAnsi" w:eastAsiaTheme="minorEastAsia" w:hAnsiTheme="minorHAnsi" w:cstheme="minorBidi"/>
          <w:noProof/>
          <w:sz w:val="22"/>
          <w:szCs w:val="22"/>
          <w:lang w:eastAsia="en-AU"/>
        </w:rPr>
      </w:pPr>
      <w:hyperlink w:anchor="_Toc119682389" w:history="1">
        <w:r w:rsidR="00A37CEC" w:rsidRPr="003C5726">
          <w:rPr>
            <w:rStyle w:val="Hyperlink"/>
            <w:noProof/>
          </w:rPr>
          <w:t>Shifts in spatial drivers</w:t>
        </w:r>
        <w:r w:rsidR="00A37CEC">
          <w:tab/>
        </w:r>
        <w:r w:rsidR="00A37CEC" w:rsidRPr="110985B9">
          <w:rPr>
            <w:noProof/>
          </w:rPr>
          <w:fldChar w:fldCharType="begin"/>
        </w:r>
        <w:r w:rsidR="00A37CEC" w:rsidRPr="110985B9">
          <w:rPr>
            <w:noProof/>
          </w:rPr>
          <w:instrText xml:space="preserve"> PAGEREF _Toc119682389 \h </w:instrText>
        </w:r>
        <w:r w:rsidR="00A37CEC" w:rsidRPr="110985B9">
          <w:rPr>
            <w:noProof/>
          </w:rPr>
        </w:r>
        <w:r w:rsidR="00A37CEC" w:rsidRPr="110985B9">
          <w:rPr>
            <w:noProof/>
          </w:rPr>
          <w:fldChar w:fldCharType="separate"/>
        </w:r>
        <w:r w:rsidR="00AB0BF3">
          <w:rPr>
            <w:noProof/>
          </w:rPr>
          <w:t>8</w:t>
        </w:r>
        <w:r w:rsidR="00A37CEC" w:rsidRPr="110985B9">
          <w:rPr>
            <w:noProof/>
          </w:rPr>
          <w:fldChar w:fldCharType="end"/>
        </w:r>
      </w:hyperlink>
    </w:p>
    <w:p w14:paraId="4C1978BE" w14:textId="23BE31E3" w:rsidR="00A37CEC" w:rsidRDefault="0075075B" w:rsidP="110985B9">
      <w:pPr>
        <w:pStyle w:val="TOC2"/>
        <w:rPr>
          <w:rFonts w:asciiTheme="minorHAnsi" w:eastAsiaTheme="minorEastAsia" w:hAnsiTheme="minorHAnsi" w:cstheme="minorBidi"/>
          <w:noProof/>
          <w:sz w:val="22"/>
          <w:szCs w:val="22"/>
          <w:lang w:eastAsia="en-AU"/>
        </w:rPr>
      </w:pPr>
      <w:hyperlink w:anchor="_Toc119682390" w:history="1">
        <w:r w:rsidR="00A37CEC" w:rsidRPr="003C5726">
          <w:rPr>
            <w:rStyle w:val="Hyperlink"/>
            <w:noProof/>
          </w:rPr>
          <w:t>Capacity assumptions</w:t>
        </w:r>
        <w:r w:rsidR="00A37CEC">
          <w:tab/>
        </w:r>
        <w:r w:rsidR="00A37CEC" w:rsidRPr="110985B9">
          <w:rPr>
            <w:noProof/>
          </w:rPr>
          <w:fldChar w:fldCharType="begin"/>
        </w:r>
        <w:r w:rsidR="00A37CEC" w:rsidRPr="110985B9">
          <w:rPr>
            <w:noProof/>
          </w:rPr>
          <w:instrText xml:space="preserve"> PAGEREF _Toc119682390 \h </w:instrText>
        </w:r>
        <w:r w:rsidR="00A37CEC" w:rsidRPr="110985B9">
          <w:rPr>
            <w:noProof/>
          </w:rPr>
        </w:r>
        <w:r w:rsidR="00A37CEC" w:rsidRPr="110985B9">
          <w:rPr>
            <w:noProof/>
          </w:rPr>
          <w:fldChar w:fldCharType="separate"/>
        </w:r>
        <w:r w:rsidR="00AB0BF3">
          <w:rPr>
            <w:noProof/>
          </w:rPr>
          <w:t>8</w:t>
        </w:r>
        <w:r w:rsidR="00A37CEC" w:rsidRPr="110985B9">
          <w:rPr>
            <w:noProof/>
          </w:rPr>
          <w:fldChar w:fldCharType="end"/>
        </w:r>
      </w:hyperlink>
    </w:p>
    <w:p w14:paraId="66E38886" w14:textId="78445023" w:rsidR="00A37CEC" w:rsidRDefault="0075075B" w:rsidP="110985B9">
      <w:pPr>
        <w:pStyle w:val="TOC1"/>
        <w:tabs>
          <w:tab w:val="right" w:leader="dot" w:pos="9769"/>
        </w:tabs>
        <w:rPr>
          <w:rFonts w:asciiTheme="minorHAnsi" w:eastAsiaTheme="minorEastAsia" w:hAnsiTheme="minorHAnsi" w:cstheme="minorBidi"/>
          <w:noProof/>
          <w:sz w:val="22"/>
          <w:szCs w:val="22"/>
          <w:lang w:eastAsia="en-AU"/>
        </w:rPr>
      </w:pPr>
      <w:hyperlink w:anchor="_Toc119682391" w:history="1">
        <w:r w:rsidR="00A37CEC" w:rsidRPr="003C5726">
          <w:rPr>
            <w:rStyle w:val="Hyperlink"/>
            <w:noProof/>
          </w:rPr>
          <w:t>More information</w:t>
        </w:r>
        <w:r w:rsidR="00A37CEC">
          <w:tab/>
        </w:r>
        <w:r w:rsidR="00A37CEC" w:rsidRPr="110985B9">
          <w:rPr>
            <w:noProof/>
          </w:rPr>
          <w:fldChar w:fldCharType="begin"/>
        </w:r>
        <w:r w:rsidR="00A37CEC" w:rsidRPr="110985B9">
          <w:rPr>
            <w:noProof/>
          </w:rPr>
          <w:instrText xml:space="preserve"> PAGEREF _Toc119682391 \h </w:instrText>
        </w:r>
        <w:r w:rsidR="00A37CEC" w:rsidRPr="110985B9">
          <w:rPr>
            <w:noProof/>
          </w:rPr>
        </w:r>
        <w:r w:rsidR="00A37CEC" w:rsidRPr="110985B9">
          <w:rPr>
            <w:noProof/>
          </w:rPr>
          <w:fldChar w:fldCharType="separate"/>
        </w:r>
        <w:r w:rsidR="00AB0BF3">
          <w:rPr>
            <w:noProof/>
          </w:rPr>
          <w:t>8</w:t>
        </w:r>
        <w:r w:rsidR="00A37CEC" w:rsidRPr="110985B9">
          <w:rPr>
            <w:noProof/>
          </w:rPr>
          <w:fldChar w:fldCharType="end"/>
        </w:r>
      </w:hyperlink>
    </w:p>
    <w:p w14:paraId="16CCABAC" w14:textId="302ADC67" w:rsidR="00A37CEC" w:rsidRDefault="0075075B" w:rsidP="110985B9">
      <w:pPr>
        <w:pStyle w:val="TOC1"/>
        <w:tabs>
          <w:tab w:val="right" w:leader="dot" w:pos="9769"/>
        </w:tabs>
        <w:rPr>
          <w:rFonts w:asciiTheme="minorHAnsi" w:eastAsiaTheme="minorEastAsia" w:hAnsiTheme="minorHAnsi" w:cstheme="minorBidi"/>
          <w:noProof/>
          <w:sz w:val="22"/>
          <w:szCs w:val="22"/>
          <w:lang w:eastAsia="en-AU"/>
        </w:rPr>
      </w:pPr>
      <w:hyperlink w:anchor="_Toc119682392" w:history="1">
        <w:r w:rsidR="00A37CEC" w:rsidRPr="003C5726">
          <w:rPr>
            <w:rStyle w:val="Hyperlink"/>
            <w:noProof/>
          </w:rPr>
          <w:t>Acknowledgements</w:t>
        </w:r>
        <w:r w:rsidR="00A37CEC">
          <w:tab/>
        </w:r>
        <w:r w:rsidR="00A37CEC" w:rsidRPr="110985B9">
          <w:rPr>
            <w:noProof/>
          </w:rPr>
          <w:fldChar w:fldCharType="begin"/>
        </w:r>
        <w:r w:rsidR="00A37CEC" w:rsidRPr="110985B9">
          <w:rPr>
            <w:noProof/>
          </w:rPr>
          <w:instrText xml:space="preserve"> PAGEREF _Toc119682392 \h </w:instrText>
        </w:r>
        <w:r w:rsidR="00A37CEC" w:rsidRPr="110985B9">
          <w:rPr>
            <w:noProof/>
          </w:rPr>
        </w:r>
        <w:r w:rsidR="00A37CEC" w:rsidRPr="110985B9">
          <w:rPr>
            <w:noProof/>
          </w:rPr>
          <w:fldChar w:fldCharType="separate"/>
        </w:r>
        <w:r w:rsidR="00AB0BF3">
          <w:rPr>
            <w:noProof/>
          </w:rPr>
          <w:t>8</w:t>
        </w:r>
        <w:r w:rsidR="00A37CEC" w:rsidRPr="110985B9">
          <w:rPr>
            <w:noProof/>
          </w:rPr>
          <w:fldChar w:fldCharType="end"/>
        </w:r>
      </w:hyperlink>
    </w:p>
    <w:p w14:paraId="6AB817E6" w14:textId="3DAE2008" w:rsidR="00A37CEC" w:rsidRDefault="0075075B" w:rsidP="110985B9">
      <w:pPr>
        <w:pStyle w:val="TOC2"/>
        <w:rPr>
          <w:rFonts w:asciiTheme="minorHAnsi" w:eastAsiaTheme="minorEastAsia" w:hAnsiTheme="minorHAnsi" w:cstheme="minorBidi"/>
          <w:noProof/>
          <w:sz w:val="22"/>
          <w:szCs w:val="22"/>
          <w:lang w:eastAsia="en-AU"/>
        </w:rPr>
      </w:pPr>
      <w:hyperlink w:anchor="_Toc119682393" w:history="1">
        <w:r w:rsidR="00A37CEC" w:rsidRPr="003C5726">
          <w:rPr>
            <w:rStyle w:val="Hyperlink"/>
            <w:noProof/>
          </w:rPr>
          <w:t>Disclaimer</w:t>
        </w:r>
        <w:r w:rsidR="00A37CEC">
          <w:tab/>
        </w:r>
        <w:r w:rsidR="00A37CEC" w:rsidRPr="110985B9">
          <w:rPr>
            <w:noProof/>
          </w:rPr>
          <w:fldChar w:fldCharType="begin"/>
        </w:r>
        <w:r w:rsidR="00A37CEC" w:rsidRPr="110985B9">
          <w:rPr>
            <w:noProof/>
          </w:rPr>
          <w:instrText xml:space="preserve"> PAGEREF _Toc119682393 \h </w:instrText>
        </w:r>
        <w:r w:rsidR="00A37CEC" w:rsidRPr="110985B9">
          <w:rPr>
            <w:noProof/>
          </w:rPr>
        </w:r>
        <w:r w:rsidR="00A37CEC" w:rsidRPr="110985B9">
          <w:rPr>
            <w:noProof/>
          </w:rPr>
          <w:fldChar w:fldCharType="separate"/>
        </w:r>
        <w:r w:rsidR="00AB0BF3">
          <w:rPr>
            <w:noProof/>
          </w:rPr>
          <w:t>8</w:t>
        </w:r>
        <w:r w:rsidR="00A37CEC" w:rsidRPr="110985B9">
          <w:rPr>
            <w:noProof/>
          </w:rPr>
          <w:fldChar w:fldCharType="end"/>
        </w:r>
      </w:hyperlink>
    </w:p>
    <w:p w14:paraId="5550D371" w14:textId="627F54BE" w:rsidR="00A37CEC" w:rsidRDefault="0075075B" w:rsidP="110985B9">
      <w:pPr>
        <w:pStyle w:val="TOC1"/>
        <w:tabs>
          <w:tab w:val="right" w:leader="dot" w:pos="9769"/>
        </w:tabs>
        <w:rPr>
          <w:rFonts w:asciiTheme="minorHAnsi" w:eastAsiaTheme="minorEastAsia" w:hAnsiTheme="minorHAnsi" w:cstheme="minorBidi"/>
          <w:noProof/>
          <w:sz w:val="22"/>
          <w:szCs w:val="22"/>
          <w:lang w:eastAsia="en-AU"/>
        </w:rPr>
      </w:pPr>
      <w:hyperlink w:anchor="_Toc119682394" w:history="1">
        <w:r w:rsidR="00A37CEC" w:rsidRPr="003C5726">
          <w:rPr>
            <w:rStyle w:val="Hyperlink"/>
            <w:noProof/>
          </w:rPr>
          <w:t>Appendix 1: Accessible data tables</w:t>
        </w:r>
        <w:r w:rsidR="00A37CEC">
          <w:tab/>
        </w:r>
        <w:r w:rsidR="00A37CEC" w:rsidRPr="110985B9">
          <w:rPr>
            <w:noProof/>
          </w:rPr>
          <w:fldChar w:fldCharType="begin"/>
        </w:r>
        <w:r w:rsidR="00A37CEC" w:rsidRPr="110985B9">
          <w:rPr>
            <w:noProof/>
          </w:rPr>
          <w:instrText xml:space="preserve"> PAGEREF _Toc119682394 \h </w:instrText>
        </w:r>
        <w:r w:rsidR="00A37CEC" w:rsidRPr="110985B9">
          <w:rPr>
            <w:noProof/>
          </w:rPr>
        </w:r>
        <w:r w:rsidR="00A37CEC" w:rsidRPr="110985B9">
          <w:rPr>
            <w:noProof/>
          </w:rPr>
          <w:fldChar w:fldCharType="separate"/>
        </w:r>
        <w:r w:rsidR="00AB0BF3">
          <w:rPr>
            <w:noProof/>
          </w:rPr>
          <w:t>9</w:t>
        </w:r>
        <w:r w:rsidR="00A37CEC" w:rsidRPr="110985B9">
          <w:rPr>
            <w:noProof/>
          </w:rPr>
          <w:fldChar w:fldCharType="end"/>
        </w:r>
      </w:hyperlink>
    </w:p>
    <w:p w14:paraId="33AB81C5" w14:textId="22E8B974" w:rsidR="00A37CEC" w:rsidRDefault="0075075B" w:rsidP="110985B9">
      <w:pPr>
        <w:pStyle w:val="TOC2"/>
        <w:rPr>
          <w:rFonts w:asciiTheme="minorHAnsi" w:eastAsiaTheme="minorEastAsia" w:hAnsiTheme="minorHAnsi" w:cstheme="minorBidi"/>
          <w:noProof/>
          <w:sz w:val="22"/>
          <w:szCs w:val="22"/>
          <w:lang w:eastAsia="en-AU"/>
        </w:rPr>
      </w:pPr>
      <w:hyperlink w:anchor="_Toc119682395" w:history="1">
        <w:r w:rsidR="00A37CEC" w:rsidRPr="003C5726">
          <w:rPr>
            <w:rStyle w:val="Hyperlink"/>
            <w:noProof/>
          </w:rPr>
          <w:t>Population by small area 2021, 2031 and 2041</w:t>
        </w:r>
        <w:r w:rsidR="00A37CEC">
          <w:tab/>
        </w:r>
        <w:r w:rsidR="00A37CEC" w:rsidRPr="110985B9">
          <w:rPr>
            <w:noProof/>
          </w:rPr>
          <w:fldChar w:fldCharType="begin"/>
        </w:r>
        <w:r w:rsidR="00A37CEC" w:rsidRPr="110985B9">
          <w:rPr>
            <w:noProof/>
          </w:rPr>
          <w:instrText xml:space="preserve"> PAGEREF _Toc119682395 \h </w:instrText>
        </w:r>
        <w:r w:rsidR="00A37CEC" w:rsidRPr="110985B9">
          <w:rPr>
            <w:noProof/>
          </w:rPr>
        </w:r>
        <w:r w:rsidR="00A37CEC" w:rsidRPr="110985B9">
          <w:rPr>
            <w:noProof/>
          </w:rPr>
          <w:fldChar w:fldCharType="separate"/>
        </w:r>
        <w:r w:rsidR="00AB0BF3">
          <w:rPr>
            <w:noProof/>
          </w:rPr>
          <w:t>9</w:t>
        </w:r>
        <w:r w:rsidR="00A37CEC" w:rsidRPr="110985B9">
          <w:rPr>
            <w:noProof/>
          </w:rPr>
          <w:fldChar w:fldCharType="end"/>
        </w:r>
      </w:hyperlink>
    </w:p>
    <w:p w14:paraId="063AFF98" w14:textId="2EA6483E" w:rsidR="00A37CEC" w:rsidRDefault="0075075B" w:rsidP="110985B9">
      <w:pPr>
        <w:pStyle w:val="TOC2"/>
        <w:rPr>
          <w:rFonts w:asciiTheme="minorHAnsi" w:eastAsiaTheme="minorEastAsia" w:hAnsiTheme="minorHAnsi" w:cstheme="minorBidi"/>
          <w:noProof/>
          <w:sz w:val="22"/>
          <w:szCs w:val="22"/>
          <w:lang w:eastAsia="en-AU"/>
        </w:rPr>
      </w:pPr>
      <w:hyperlink w:anchor="_Toc119682396" w:history="1">
        <w:r w:rsidR="00A37CEC" w:rsidRPr="003C5726">
          <w:rPr>
            <w:rStyle w:val="Hyperlink"/>
            <w:noProof/>
          </w:rPr>
          <w:t>Households by small area 2021, 2031 and 2041</w:t>
        </w:r>
        <w:r w:rsidR="00A37CEC">
          <w:tab/>
        </w:r>
        <w:r w:rsidR="00A37CEC" w:rsidRPr="110985B9">
          <w:rPr>
            <w:noProof/>
          </w:rPr>
          <w:fldChar w:fldCharType="begin"/>
        </w:r>
        <w:r w:rsidR="00A37CEC" w:rsidRPr="110985B9">
          <w:rPr>
            <w:noProof/>
          </w:rPr>
          <w:instrText xml:space="preserve"> PAGEREF _Toc119682396 \h </w:instrText>
        </w:r>
        <w:r w:rsidR="00A37CEC" w:rsidRPr="110985B9">
          <w:rPr>
            <w:noProof/>
          </w:rPr>
        </w:r>
        <w:r w:rsidR="00A37CEC" w:rsidRPr="110985B9">
          <w:rPr>
            <w:noProof/>
          </w:rPr>
          <w:fldChar w:fldCharType="separate"/>
        </w:r>
        <w:r w:rsidR="00AB0BF3">
          <w:rPr>
            <w:noProof/>
          </w:rPr>
          <w:t>9</w:t>
        </w:r>
        <w:r w:rsidR="00A37CEC" w:rsidRPr="110985B9">
          <w:rPr>
            <w:noProof/>
          </w:rPr>
          <w:fldChar w:fldCharType="end"/>
        </w:r>
      </w:hyperlink>
    </w:p>
    <w:p w14:paraId="2E5D3F5B" w14:textId="538B479E" w:rsidR="00A37CEC" w:rsidRDefault="0075075B" w:rsidP="110985B9">
      <w:pPr>
        <w:pStyle w:val="TOC2"/>
        <w:rPr>
          <w:rFonts w:asciiTheme="minorHAnsi" w:eastAsiaTheme="minorEastAsia" w:hAnsiTheme="minorHAnsi" w:cstheme="minorBidi"/>
          <w:noProof/>
          <w:sz w:val="22"/>
          <w:szCs w:val="22"/>
          <w:lang w:eastAsia="en-AU"/>
        </w:rPr>
      </w:pPr>
      <w:hyperlink w:anchor="_Toc119682397" w:history="1">
        <w:r w:rsidR="00A37CEC" w:rsidRPr="003C5726">
          <w:rPr>
            <w:rStyle w:val="Hyperlink"/>
            <w:noProof/>
          </w:rPr>
          <w:t>Floor space (‘000 sqm) by small area 2021, 2031 and 2041</w:t>
        </w:r>
        <w:r w:rsidR="00A37CEC">
          <w:tab/>
        </w:r>
        <w:r w:rsidR="00A37CEC" w:rsidRPr="110985B9">
          <w:rPr>
            <w:noProof/>
          </w:rPr>
          <w:fldChar w:fldCharType="begin"/>
        </w:r>
        <w:r w:rsidR="00A37CEC" w:rsidRPr="110985B9">
          <w:rPr>
            <w:noProof/>
          </w:rPr>
          <w:instrText xml:space="preserve"> PAGEREF _Toc119682397 \h </w:instrText>
        </w:r>
        <w:r w:rsidR="00A37CEC" w:rsidRPr="110985B9">
          <w:rPr>
            <w:noProof/>
          </w:rPr>
        </w:r>
        <w:r w:rsidR="00A37CEC" w:rsidRPr="110985B9">
          <w:rPr>
            <w:noProof/>
          </w:rPr>
          <w:fldChar w:fldCharType="separate"/>
        </w:r>
        <w:r w:rsidR="00AB0BF3">
          <w:rPr>
            <w:noProof/>
          </w:rPr>
          <w:t>10</w:t>
        </w:r>
        <w:r w:rsidR="00A37CEC" w:rsidRPr="110985B9">
          <w:rPr>
            <w:noProof/>
          </w:rPr>
          <w:fldChar w:fldCharType="end"/>
        </w:r>
      </w:hyperlink>
    </w:p>
    <w:p w14:paraId="65A0927C" w14:textId="48363F51" w:rsidR="00A37CEC" w:rsidRDefault="0075075B" w:rsidP="110985B9">
      <w:pPr>
        <w:pStyle w:val="TOC2"/>
        <w:rPr>
          <w:rFonts w:asciiTheme="minorHAnsi" w:eastAsiaTheme="minorEastAsia" w:hAnsiTheme="minorHAnsi" w:cstheme="minorBidi"/>
          <w:noProof/>
          <w:sz w:val="22"/>
          <w:szCs w:val="22"/>
          <w:lang w:eastAsia="en-AU"/>
        </w:rPr>
      </w:pPr>
      <w:hyperlink w:anchor="_Toc119682398" w:history="1">
        <w:r w:rsidR="00A37CEC" w:rsidRPr="003C5726">
          <w:rPr>
            <w:rStyle w:val="Hyperlink"/>
            <w:noProof/>
          </w:rPr>
          <w:t>Jobs by industry 2021, 2031 and 2041</w:t>
        </w:r>
        <w:r w:rsidR="00A37CEC">
          <w:tab/>
        </w:r>
        <w:r w:rsidR="00A37CEC" w:rsidRPr="110985B9">
          <w:rPr>
            <w:noProof/>
          </w:rPr>
          <w:fldChar w:fldCharType="begin"/>
        </w:r>
        <w:r w:rsidR="00A37CEC" w:rsidRPr="110985B9">
          <w:rPr>
            <w:noProof/>
          </w:rPr>
          <w:instrText xml:space="preserve"> PAGEREF _Toc119682398 \h </w:instrText>
        </w:r>
        <w:r w:rsidR="00A37CEC" w:rsidRPr="110985B9">
          <w:rPr>
            <w:noProof/>
          </w:rPr>
        </w:r>
        <w:r w:rsidR="00A37CEC" w:rsidRPr="110985B9">
          <w:rPr>
            <w:noProof/>
          </w:rPr>
          <w:fldChar w:fldCharType="separate"/>
        </w:r>
        <w:r w:rsidR="00AB0BF3">
          <w:rPr>
            <w:noProof/>
          </w:rPr>
          <w:t>11</w:t>
        </w:r>
        <w:r w:rsidR="00A37CEC" w:rsidRPr="110985B9">
          <w:rPr>
            <w:noProof/>
          </w:rPr>
          <w:fldChar w:fldCharType="end"/>
        </w:r>
      </w:hyperlink>
    </w:p>
    <w:p w14:paraId="7B2FF0CC" w14:textId="6649BF9A" w:rsidR="00A37CEC" w:rsidRDefault="0075075B" w:rsidP="110985B9">
      <w:pPr>
        <w:pStyle w:val="TOC2"/>
        <w:rPr>
          <w:rFonts w:asciiTheme="minorHAnsi" w:eastAsiaTheme="minorEastAsia" w:hAnsiTheme="minorHAnsi" w:cstheme="minorBidi"/>
          <w:noProof/>
          <w:sz w:val="22"/>
          <w:szCs w:val="22"/>
          <w:lang w:eastAsia="en-AU"/>
        </w:rPr>
      </w:pPr>
      <w:hyperlink w:anchor="_Toc119682399" w:history="1">
        <w:r w:rsidR="00A37CEC" w:rsidRPr="003C5726">
          <w:rPr>
            <w:rStyle w:val="Hyperlink"/>
            <w:noProof/>
          </w:rPr>
          <w:t>Floor space (‘000 sqm) by space use 2021, 2031 and 2041</w:t>
        </w:r>
        <w:r w:rsidR="00A37CEC">
          <w:tab/>
        </w:r>
        <w:r w:rsidR="00A37CEC" w:rsidRPr="110985B9">
          <w:rPr>
            <w:noProof/>
          </w:rPr>
          <w:fldChar w:fldCharType="begin"/>
        </w:r>
        <w:r w:rsidR="00A37CEC" w:rsidRPr="110985B9">
          <w:rPr>
            <w:noProof/>
          </w:rPr>
          <w:instrText xml:space="preserve"> PAGEREF _Toc119682399 \h </w:instrText>
        </w:r>
        <w:r w:rsidR="00A37CEC" w:rsidRPr="110985B9">
          <w:rPr>
            <w:noProof/>
          </w:rPr>
        </w:r>
        <w:r w:rsidR="00A37CEC" w:rsidRPr="110985B9">
          <w:rPr>
            <w:noProof/>
          </w:rPr>
          <w:fldChar w:fldCharType="separate"/>
        </w:r>
        <w:r w:rsidR="00AB0BF3">
          <w:rPr>
            <w:noProof/>
          </w:rPr>
          <w:t>12</w:t>
        </w:r>
        <w:r w:rsidR="00A37CEC" w:rsidRPr="110985B9">
          <w:rPr>
            <w:noProof/>
          </w:rPr>
          <w:fldChar w:fldCharType="end"/>
        </w:r>
      </w:hyperlink>
    </w:p>
    <w:p w14:paraId="456EC735" w14:textId="10D6EF1B" w:rsidR="00A37CEC" w:rsidRDefault="0075075B" w:rsidP="110985B9">
      <w:pPr>
        <w:pStyle w:val="TOC1"/>
        <w:tabs>
          <w:tab w:val="right" w:leader="dot" w:pos="9769"/>
        </w:tabs>
        <w:rPr>
          <w:rFonts w:asciiTheme="minorHAnsi" w:eastAsiaTheme="minorEastAsia" w:hAnsiTheme="minorHAnsi" w:cstheme="minorBidi"/>
          <w:noProof/>
          <w:sz w:val="22"/>
          <w:szCs w:val="22"/>
          <w:lang w:eastAsia="en-AU"/>
        </w:rPr>
      </w:pPr>
      <w:hyperlink w:anchor="_Toc119682400" w:history="1">
        <w:r w:rsidR="00A37CEC" w:rsidRPr="003C5726">
          <w:rPr>
            <w:rStyle w:val="Hyperlink"/>
            <w:noProof/>
          </w:rPr>
          <w:t>Appendix 2: Industry categories</w:t>
        </w:r>
        <w:r w:rsidR="00A37CEC">
          <w:tab/>
        </w:r>
        <w:r w:rsidR="00A37CEC" w:rsidRPr="110985B9">
          <w:rPr>
            <w:noProof/>
          </w:rPr>
          <w:fldChar w:fldCharType="begin"/>
        </w:r>
        <w:r w:rsidR="00A37CEC" w:rsidRPr="110985B9">
          <w:rPr>
            <w:noProof/>
          </w:rPr>
          <w:instrText xml:space="preserve"> PAGEREF _Toc119682400 \h </w:instrText>
        </w:r>
        <w:r w:rsidR="00A37CEC" w:rsidRPr="110985B9">
          <w:rPr>
            <w:noProof/>
          </w:rPr>
        </w:r>
        <w:r w:rsidR="00A37CEC" w:rsidRPr="110985B9">
          <w:rPr>
            <w:noProof/>
          </w:rPr>
          <w:fldChar w:fldCharType="separate"/>
        </w:r>
        <w:r w:rsidR="00AB0BF3">
          <w:rPr>
            <w:noProof/>
          </w:rPr>
          <w:t>13</w:t>
        </w:r>
        <w:r w:rsidR="00A37CEC" w:rsidRPr="110985B9">
          <w:rPr>
            <w:noProof/>
          </w:rPr>
          <w:fldChar w:fldCharType="end"/>
        </w:r>
      </w:hyperlink>
    </w:p>
    <w:p w14:paraId="3A42EF1B" w14:textId="09782BD6" w:rsidR="00945964" w:rsidRPr="0075075B" w:rsidDel="00A37CEC" w:rsidRDefault="0075075B" w:rsidP="110985B9">
      <w:pPr>
        <w:pStyle w:val="TOC1"/>
        <w:tabs>
          <w:tab w:val="right" w:leader="dot" w:pos="9769"/>
        </w:tabs>
        <w:rPr>
          <w:rFonts w:asciiTheme="minorHAnsi" w:eastAsiaTheme="minorEastAsia" w:hAnsiTheme="minorHAnsi" w:cstheme="minorBidi"/>
          <w:noProof/>
          <w:sz w:val="22"/>
          <w:szCs w:val="22"/>
          <w:lang w:eastAsia="en-AU"/>
        </w:rPr>
      </w:pPr>
      <w:hyperlink w:anchor="_Toc119682401" w:history="1">
        <w:r w:rsidR="00A37CEC" w:rsidRPr="003C5726">
          <w:rPr>
            <w:rStyle w:val="Hyperlink"/>
            <w:noProof/>
          </w:rPr>
          <w:t>Appendix 3: Space use categories</w:t>
        </w:r>
        <w:r w:rsidR="00A37CEC">
          <w:tab/>
        </w:r>
        <w:r w:rsidR="00A37CEC" w:rsidRPr="110985B9">
          <w:rPr>
            <w:noProof/>
          </w:rPr>
          <w:fldChar w:fldCharType="begin"/>
        </w:r>
        <w:r w:rsidR="00A37CEC" w:rsidRPr="110985B9">
          <w:rPr>
            <w:noProof/>
          </w:rPr>
          <w:instrText xml:space="preserve"> PAGEREF _Toc119682401 \h </w:instrText>
        </w:r>
        <w:r w:rsidR="00A37CEC" w:rsidRPr="110985B9">
          <w:rPr>
            <w:noProof/>
          </w:rPr>
        </w:r>
        <w:r w:rsidR="00A37CEC" w:rsidRPr="110985B9">
          <w:rPr>
            <w:noProof/>
          </w:rPr>
          <w:fldChar w:fldCharType="separate"/>
        </w:r>
        <w:r w:rsidR="00AB0BF3">
          <w:rPr>
            <w:noProof/>
          </w:rPr>
          <w:t>14</w:t>
        </w:r>
        <w:r w:rsidR="00A37CEC" w:rsidRPr="110985B9">
          <w:rPr>
            <w:noProof/>
          </w:rPr>
          <w:fldChar w:fldCharType="end"/>
        </w:r>
      </w:hyperlink>
    </w:p>
    <w:p w14:paraId="3E7A9F1C" w14:textId="77777777" w:rsidR="00BE6801" w:rsidRPr="00537E40" w:rsidRDefault="00B152AF" w:rsidP="00802A52">
      <w:pPr>
        <w:pStyle w:val="Heading1"/>
        <w:rPr>
          <w:rFonts w:hint="eastAsia"/>
        </w:rPr>
      </w:pPr>
      <w:r w:rsidRPr="00537E40">
        <w:rPr>
          <w:noProof/>
        </w:rPr>
        <w:fldChar w:fldCharType="end"/>
      </w:r>
      <w:r w:rsidRPr="00537E40">
        <w:rPr>
          <w:rFonts w:hint="eastAsia"/>
        </w:rPr>
        <w:br w:type="page"/>
      </w:r>
      <w:bookmarkStart w:id="6" w:name="_Toc119682377"/>
      <w:bookmarkEnd w:id="4"/>
      <w:bookmarkEnd w:id="5"/>
      <w:r w:rsidR="0049069D" w:rsidRPr="00537E40">
        <w:lastRenderedPageBreak/>
        <w:t>Introduction</w:t>
      </w:r>
      <w:bookmarkEnd w:id="6"/>
    </w:p>
    <w:p w14:paraId="4308AE98" w14:textId="2DF258F9" w:rsidR="00A222FA" w:rsidRPr="00537E40" w:rsidRDefault="00A222FA" w:rsidP="00A222FA">
      <w:bookmarkStart w:id="7" w:name="_Toc403992346"/>
      <w:bookmarkStart w:id="8" w:name="_Toc403992581"/>
      <w:bookmarkStart w:id="9" w:name="_Toc419982306"/>
      <w:r>
        <w:t>Forecasts provide a</w:t>
      </w:r>
      <w:r w:rsidR="009F0584">
        <w:t>n informed guide to what may occur in</w:t>
      </w:r>
      <w:r>
        <w:t xml:space="preserve"> </w:t>
      </w:r>
      <w:r w:rsidR="009F0584">
        <w:t>th</w:t>
      </w:r>
      <w:r>
        <w:t xml:space="preserve">e future. They help us answer questions such as how many people </w:t>
      </w:r>
      <w:r w:rsidR="009F0584">
        <w:t xml:space="preserve">may </w:t>
      </w:r>
      <w:r>
        <w:t xml:space="preserve">live within the city or how many jobs </w:t>
      </w:r>
      <w:r w:rsidR="009F0584">
        <w:t xml:space="preserve">may </w:t>
      </w:r>
      <w:r>
        <w:t xml:space="preserve">be within the city, and where these </w:t>
      </w:r>
      <w:r w:rsidR="009F0584">
        <w:t xml:space="preserve">may </w:t>
      </w:r>
      <w:r>
        <w:t xml:space="preserve">be located. Having a </w:t>
      </w:r>
      <w:r w:rsidR="009F0584">
        <w:t xml:space="preserve">reasonably </w:t>
      </w:r>
      <w:r>
        <w:t xml:space="preserve">confident understanding of the expected level of growth is essential to allocating sufficient resources and services to support our </w:t>
      </w:r>
      <w:r w:rsidR="009F0584">
        <w:t>fast-</w:t>
      </w:r>
      <w:r>
        <w:t xml:space="preserve">growing city. </w:t>
      </w:r>
    </w:p>
    <w:p w14:paraId="744ED02F" w14:textId="22783F4D" w:rsidR="00CE5B6B" w:rsidRPr="00537E40" w:rsidRDefault="005479A8" w:rsidP="00A222FA">
      <w:r>
        <w:t xml:space="preserve">The </w:t>
      </w:r>
      <w:r w:rsidR="00A222FA">
        <w:t xml:space="preserve">City of Melbourne </w:t>
      </w:r>
      <w:r w:rsidR="00E91B42">
        <w:t>commissions</w:t>
      </w:r>
      <w:r w:rsidR="005432C1">
        <w:t xml:space="preserve"> population and jobs</w:t>
      </w:r>
      <w:r w:rsidR="00A222FA">
        <w:t xml:space="preserve"> forecasts from an independent, specialist agency </w:t>
      </w:r>
      <w:r w:rsidR="00917227">
        <w:t>and are</w:t>
      </w:r>
      <w:r w:rsidR="00A222FA">
        <w:t xml:space="preserve"> periodically </w:t>
      </w:r>
      <w:r w:rsidR="00CE5B6B">
        <w:t>revised</w:t>
      </w:r>
      <w:r w:rsidR="00A222FA">
        <w:t xml:space="preserve"> when new information is released.</w:t>
      </w:r>
      <w:r w:rsidR="00342C45">
        <w:t xml:space="preserve"> </w:t>
      </w:r>
      <w:r w:rsidR="00E91B42">
        <w:t>In March 2022</w:t>
      </w:r>
      <w:r w:rsidR="00CE5B6B">
        <w:t xml:space="preserve">, SGS Economics and Planning </w:t>
      </w:r>
      <w:r w:rsidR="57A255B4">
        <w:t>were engaged</w:t>
      </w:r>
      <w:r w:rsidR="00CE5B6B">
        <w:t xml:space="preserve"> to provide Council with</w:t>
      </w:r>
      <w:r w:rsidR="0003014D">
        <w:t xml:space="preserve"> updated</w:t>
      </w:r>
      <w:r w:rsidR="00CE5B6B">
        <w:t xml:space="preserve"> forecasts that consider </w:t>
      </w:r>
      <w:r w:rsidR="0003014D">
        <w:t xml:space="preserve">the </w:t>
      </w:r>
      <w:r w:rsidR="00CE5B6B">
        <w:t xml:space="preserve">impacts </w:t>
      </w:r>
      <w:r w:rsidR="005432C1">
        <w:t>of</w:t>
      </w:r>
      <w:r w:rsidR="00CE5B6B">
        <w:t xml:space="preserve"> COVID</w:t>
      </w:r>
      <w:r w:rsidR="00917227">
        <w:t>-</w:t>
      </w:r>
      <w:r w:rsidR="00CE5B6B">
        <w:t>19</w:t>
      </w:r>
      <w:r w:rsidR="00E91B42">
        <w:t>, and the short-term and long-term recovery pathways for the City of Melbourne</w:t>
      </w:r>
      <w:r w:rsidR="00917227">
        <w:t>.</w:t>
      </w:r>
    </w:p>
    <w:p w14:paraId="4041A364" w14:textId="39434E21" w:rsidR="007F64BD" w:rsidRPr="00537E40" w:rsidRDefault="00A222FA" w:rsidP="00A222FA">
      <w:r>
        <w:t xml:space="preserve">This summary report highlights </w:t>
      </w:r>
      <w:r w:rsidR="00342C45">
        <w:t xml:space="preserve">forecasts </w:t>
      </w:r>
      <w:r w:rsidR="00F568BB">
        <w:t xml:space="preserve">prepared between </w:t>
      </w:r>
      <w:r w:rsidR="00E91B42">
        <w:t xml:space="preserve">March </w:t>
      </w:r>
      <w:r w:rsidR="00F568BB">
        <w:t>202</w:t>
      </w:r>
      <w:r w:rsidR="00E91B42">
        <w:t>2</w:t>
      </w:r>
      <w:r w:rsidR="00F568BB">
        <w:t xml:space="preserve"> and </w:t>
      </w:r>
      <w:r w:rsidR="00E91B42">
        <w:t xml:space="preserve">October </w:t>
      </w:r>
      <w:r w:rsidR="00F568BB">
        <w:t>202</w:t>
      </w:r>
      <w:r w:rsidR="00E91B42">
        <w:t>2</w:t>
      </w:r>
      <w:r w:rsidR="00F568BB">
        <w:t xml:space="preserve"> </w:t>
      </w:r>
      <w:r w:rsidR="00342C45">
        <w:t xml:space="preserve">relating to the population, </w:t>
      </w:r>
      <w:proofErr w:type="gramStart"/>
      <w:r w:rsidR="00342C45">
        <w:t>jobs</w:t>
      </w:r>
      <w:proofErr w:type="gramEnd"/>
      <w:r w:rsidR="00342C45">
        <w:t xml:space="preserve"> and floor space demand (required to accommodate population and jobs) within the City of Melbourne </w:t>
      </w:r>
      <w:r w:rsidR="007F64BD">
        <w:t xml:space="preserve">municipality </w:t>
      </w:r>
      <w:r w:rsidR="00342C45">
        <w:t>from 202</w:t>
      </w:r>
      <w:r w:rsidR="00E91B42">
        <w:t>1</w:t>
      </w:r>
      <w:r w:rsidR="00342C45">
        <w:t xml:space="preserve"> to 204</w:t>
      </w:r>
      <w:r w:rsidR="00E91B42">
        <w:t>1</w:t>
      </w:r>
      <w:r w:rsidR="00342C45">
        <w:t>.</w:t>
      </w:r>
      <w:r w:rsidR="00AC5322">
        <w:t xml:space="preserve"> These are the </w:t>
      </w:r>
      <w:r w:rsidR="00E91B42">
        <w:t xml:space="preserve">second set of </w:t>
      </w:r>
      <w:proofErr w:type="gramStart"/>
      <w:r w:rsidR="00DD4810">
        <w:t>longer term</w:t>
      </w:r>
      <w:proofErr w:type="gramEnd"/>
      <w:r w:rsidR="00DD4810">
        <w:t xml:space="preserve"> </w:t>
      </w:r>
      <w:r w:rsidR="00AC5322">
        <w:t xml:space="preserve">forecasts published by the City of Melbourne that </w:t>
      </w:r>
      <w:r w:rsidR="00DD4810">
        <w:t>consider impacts stemming from COVID-19</w:t>
      </w:r>
      <w:r w:rsidR="00E91B42">
        <w:t>, an updated version to forecasts prepared in 2021</w:t>
      </w:r>
      <w:r w:rsidR="00AC5322">
        <w:t>.</w:t>
      </w:r>
    </w:p>
    <w:p w14:paraId="08423271" w14:textId="77777777" w:rsidR="0049069D" w:rsidRPr="00537E40" w:rsidRDefault="0049069D" w:rsidP="0049069D">
      <w:pPr>
        <w:pStyle w:val="Heading1"/>
        <w:rPr>
          <w:rFonts w:hint="eastAsia"/>
        </w:rPr>
      </w:pPr>
      <w:bookmarkStart w:id="10" w:name="_Toc119682378"/>
      <w:r w:rsidRPr="00537E40">
        <w:t>Summary</w:t>
      </w:r>
      <w:bookmarkEnd w:id="10"/>
    </w:p>
    <w:p w14:paraId="20264EB9" w14:textId="4C453B16" w:rsidR="009F0AC1" w:rsidRPr="00537E40" w:rsidRDefault="003A5674" w:rsidP="008E0C7D">
      <w:r>
        <w:t>The City of Melbourne</w:t>
      </w:r>
      <w:r w:rsidR="00664502">
        <w:t xml:space="preserve"> municipality</w:t>
      </w:r>
      <w:r>
        <w:t xml:space="preserve"> is forecast to reach </w:t>
      </w:r>
      <w:r w:rsidR="00917227">
        <w:t xml:space="preserve">around </w:t>
      </w:r>
      <w:r>
        <w:t>3</w:t>
      </w:r>
      <w:r w:rsidR="00E91B42">
        <w:t>0</w:t>
      </w:r>
      <w:r w:rsidR="00917227">
        <w:t>8</w:t>
      </w:r>
      <w:r>
        <w:t>,000 people and 6</w:t>
      </w:r>
      <w:r w:rsidR="00E91B42">
        <w:t>59</w:t>
      </w:r>
      <w:r>
        <w:t>,000 jobs by 204</w:t>
      </w:r>
      <w:r w:rsidR="00E91B42">
        <w:t>1</w:t>
      </w:r>
      <w:r>
        <w:t>, accommodating an additional 1</w:t>
      </w:r>
      <w:r w:rsidR="00E91B42">
        <w:t>5</w:t>
      </w:r>
      <w:r>
        <w:t>5,000 residents and 228,000 jobs between 202</w:t>
      </w:r>
      <w:r w:rsidR="00E91B42">
        <w:t>1</w:t>
      </w:r>
      <w:r>
        <w:t xml:space="preserve"> and 204</w:t>
      </w:r>
      <w:r w:rsidR="00E91B42">
        <w:t>1</w:t>
      </w:r>
      <w:r>
        <w:t xml:space="preserve">. </w:t>
      </w:r>
    </w:p>
    <w:p w14:paraId="4BD56F1A" w14:textId="08623132" w:rsidR="00C14D31" w:rsidRPr="00537E40" w:rsidRDefault="00C14D31" w:rsidP="008E0C7D">
      <w:r>
        <w:t>By 204</w:t>
      </w:r>
      <w:r w:rsidR="003C6342">
        <w:t>1</w:t>
      </w:r>
      <w:r>
        <w:t xml:space="preserve">, </w:t>
      </w:r>
      <w:r w:rsidR="00DD5964">
        <w:t>t</w:t>
      </w:r>
      <w:r>
        <w:t>he City of Melbourne is forecast</w:t>
      </w:r>
      <w:r w:rsidR="00917227">
        <w:t xml:space="preserve"> </w:t>
      </w:r>
      <w:r>
        <w:t xml:space="preserve">to reach </w:t>
      </w:r>
      <w:r w:rsidR="003C6342">
        <w:t>136</w:t>
      </w:r>
      <w:r>
        <w:t xml:space="preserve">,000 households, accommodating an additional </w:t>
      </w:r>
      <w:r w:rsidR="003C6342">
        <w:t>5</w:t>
      </w:r>
      <w:r>
        <w:t>0,000 households between 202</w:t>
      </w:r>
      <w:r w:rsidR="003C6342">
        <w:t>1</w:t>
      </w:r>
      <w:r>
        <w:t xml:space="preserve"> and 204</w:t>
      </w:r>
      <w:r w:rsidR="003C6342">
        <w:t>1</w:t>
      </w:r>
      <w:r>
        <w:t xml:space="preserve">. </w:t>
      </w:r>
    </w:p>
    <w:p w14:paraId="1F965C70" w14:textId="03F16373" w:rsidR="00C14D31" w:rsidRPr="00537E40" w:rsidRDefault="00C14D31" w:rsidP="008E0C7D">
      <w:pPr>
        <w:spacing w:after="360"/>
      </w:pPr>
      <w:r>
        <w:t xml:space="preserve">Floor space demand is expected to grow by over </w:t>
      </w:r>
      <w:r w:rsidR="003C6342">
        <w:t>6.3</w:t>
      </w:r>
      <w:r>
        <w:t xml:space="preserve"> million square metres between 202</w:t>
      </w:r>
      <w:r w:rsidR="003C6342">
        <w:t>1</w:t>
      </w:r>
      <w:r>
        <w:t xml:space="preserve"> and 204</w:t>
      </w:r>
      <w:r w:rsidR="003C6342">
        <w:t>1</w:t>
      </w:r>
      <w:r>
        <w:t xml:space="preserve">, of which </w:t>
      </w:r>
      <w:r w:rsidR="003C6342">
        <w:t>2.7</w:t>
      </w:r>
      <w:r>
        <w:t xml:space="preserve"> million square metres is residential.</w:t>
      </w:r>
    </w:p>
    <w:p w14:paraId="4FF51BDB" w14:textId="568C145F" w:rsidR="00C14D31" w:rsidRPr="00537E40" w:rsidRDefault="00C14D31" w:rsidP="110985B9">
      <w:pPr>
        <w:pStyle w:val="Heading2"/>
        <w:rPr>
          <w:rFonts w:hint="eastAsia"/>
        </w:rPr>
      </w:pPr>
      <w:bookmarkStart w:id="11" w:name="_Toc119682379"/>
      <w:r>
        <w:t>Melbourne municipality: Forecasts 202</w:t>
      </w:r>
      <w:r w:rsidR="003C6342">
        <w:t>1</w:t>
      </w:r>
      <w:r>
        <w:t>, 203</w:t>
      </w:r>
      <w:r w:rsidR="003C6342">
        <w:t>1</w:t>
      </w:r>
      <w:r>
        <w:t xml:space="preserve"> and 204</w:t>
      </w:r>
      <w:r w:rsidR="003C6342">
        <w:t>1</w:t>
      </w:r>
      <w:bookmarkEnd w:id="11"/>
    </w:p>
    <w:tbl>
      <w:tblPr>
        <w:tblW w:w="9772" w:type="dxa"/>
        <w:tblLayout w:type="fixed"/>
        <w:tblLook w:val="04A0" w:firstRow="1" w:lastRow="0" w:firstColumn="1" w:lastColumn="0" w:noHBand="0" w:noVBand="1"/>
      </w:tblPr>
      <w:tblGrid>
        <w:gridCol w:w="3114"/>
        <w:gridCol w:w="1276"/>
        <w:gridCol w:w="1275"/>
        <w:gridCol w:w="1276"/>
        <w:gridCol w:w="1418"/>
        <w:gridCol w:w="1413"/>
      </w:tblGrid>
      <w:tr w:rsidR="001D104E" w:rsidRPr="00537E40" w14:paraId="2529C845" w14:textId="77777777" w:rsidTr="110985B9">
        <w:trPr>
          <w:trHeight w:val="285"/>
        </w:trPr>
        <w:tc>
          <w:tcPr>
            <w:tcW w:w="3114" w:type="dxa"/>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2AB85B47" w14:textId="77777777" w:rsidR="001D104E" w:rsidRPr="00B07612" w:rsidRDefault="001D104E" w:rsidP="00B07612">
            <w:pPr>
              <w:spacing w:after="0" w:line="240" w:lineRule="auto"/>
              <w:rPr>
                <w:rFonts w:eastAsia="Times New Roman" w:cs="Arial"/>
                <w:b/>
                <w:bCs/>
                <w:color w:val="000000"/>
                <w:szCs w:val="20"/>
                <w:lang w:eastAsia="en-AU"/>
              </w:rPr>
            </w:pPr>
            <w:r w:rsidRPr="00B07612">
              <w:rPr>
                <w:rFonts w:eastAsia="Times New Roman" w:cs="Arial"/>
                <w:b/>
                <w:bCs/>
                <w:color w:val="000000"/>
                <w:szCs w:val="20"/>
                <w:lang w:eastAsia="en-AU"/>
              </w:rPr>
              <w:t>Summary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9ABF2" w14:textId="65B45E16" w:rsidR="001D104E" w:rsidRPr="00B07612" w:rsidRDefault="001D104E"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202</w:t>
            </w:r>
            <w:r w:rsidR="00CC2F7D" w:rsidRPr="110985B9">
              <w:rPr>
                <w:rFonts w:eastAsia="Times New Roman" w:cs="Arial"/>
                <w:b/>
                <w:bCs/>
                <w:color w:val="000000" w:themeColor="text1"/>
                <w:lang w:eastAsia="en-AU"/>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D46AA" w14:textId="31E50165" w:rsidR="001D104E" w:rsidRPr="00B07612" w:rsidRDefault="001D104E"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203</w:t>
            </w:r>
            <w:r w:rsidR="00CC2F7D" w:rsidRPr="110985B9">
              <w:rPr>
                <w:rFonts w:eastAsia="Times New Roman" w:cs="Arial"/>
                <w:b/>
                <w:bCs/>
                <w:color w:val="000000" w:themeColor="text1"/>
                <w:lang w:eastAsia="en-A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9D65D" w14:textId="4D9BF722" w:rsidR="001D104E" w:rsidRPr="00B07612" w:rsidRDefault="001D104E"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204</w:t>
            </w:r>
            <w:r w:rsidR="00CC2F7D" w:rsidRPr="110985B9">
              <w:rPr>
                <w:rFonts w:eastAsia="Times New Roman" w:cs="Arial"/>
                <w:b/>
                <w:bCs/>
                <w:color w:val="000000" w:themeColor="text1"/>
                <w:lang w:eastAsia="en-A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57F5F7" w14:textId="5D28503D" w:rsidR="001D104E" w:rsidRPr="00B07612" w:rsidRDefault="001D104E"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 xml:space="preserve">Change </w:t>
            </w:r>
            <w:r>
              <w:br/>
            </w:r>
            <w:r w:rsidRPr="110985B9">
              <w:rPr>
                <w:rFonts w:eastAsia="Times New Roman" w:cs="Arial"/>
                <w:b/>
                <w:bCs/>
                <w:color w:val="000000" w:themeColor="text1"/>
                <w:lang w:eastAsia="en-AU"/>
              </w:rPr>
              <w:t>202</w:t>
            </w:r>
            <w:r w:rsidR="00CC2F7D" w:rsidRPr="110985B9">
              <w:rPr>
                <w:rFonts w:eastAsia="Times New Roman" w:cs="Arial"/>
                <w:b/>
                <w:bCs/>
                <w:color w:val="000000" w:themeColor="text1"/>
                <w:lang w:eastAsia="en-AU"/>
              </w:rPr>
              <w:t>1</w:t>
            </w:r>
            <w:r w:rsidRPr="110985B9">
              <w:rPr>
                <w:rFonts w:eastAsia="Times New Roman" w:cs="Arial"/>
                <w:b/>
                <w:bCs/>
                <w:color w:val="000000" w:themeColor="text1"/>
                <w:lang w:eastAsia="en-AU"/>
              </w:rPr>
              <w:t>-204</w:t>
            </w:r>
            <w:r w:rsidR="00CC2F7D" w:rsidRPr="110985B9">
              <w:rPr>
                <w:rFonts w:eastAsia="Times New Roman" w:cs="Arial"/>
                <w:b/>
                <w:bCs/>
                <w:color w:val="000000" w:themeColor="text1"/>
                <w:lang w:eastAsia="en-AU"/>
              </w:rPr>
              <w:t>1</w:t>
            </w:r>
          </w:p>
        </w:tc>
        <w:tc>
          <w:tcPr>
            <w:tcW w:w="1413" w:type="dxa"/>
            <w:tcBorders>
              <w:top w:val="single" w:sz="4" w:space="0" w:color="auto"/>
              <w:left w:val="nil"/>
              <w:bottom w:val="single" w:sz="4" w:space="0" w:color="auto"/>
              <w:right w:val="single" w:sz="4" w:space="0" w:color="auto"/>
            </w:tcBorders>
            <w:shd w:val="clear" w:color="auto" w:fill="auto"/>
            <w:vAlign w:val="center"/>
          </w:tcPr>
          <w:p w14:paraId="0C6B3626" w14:textId="075AA386" w:rsidR="001D104E" w:rsidRPr="00B07612" w:rsidRDefault="001D104E"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Avg. Annual Growth Rate</w:t>
            </w:r>
            <w:r w:rsidR="4F1CAFDE" w:rsidRPr="110985B9">
              <w:rPr>
                <w:rFonts w:eastAsia="Times New Roman" w:cs="Arial"/>
                <w:b/>
                <w:bCs/>
                <w:color w:val="000000" w:themeColor="text1"/>
                <w:lang w:eastAsia="en-AU"/>
              </w:rPr>
              <w:t xml:space="preserve"> </w:t>
            </w:r>
            <w:r w:rsidRPr="110985B9">
              <w:rPr>
                <w:rFonts w:eastAsia="Times New Roman" w:cs="Arial"/>
                <w:b/>
                <w:bCs/>
                <w:color w:val="000000" w:themeColor="text1"/>
                <w:lang w:eastAsia="en-AU"/>
              </w:rPr>
              <w:t>202</w:t>
            </w:r>
            <w:r w:rsidR="00CC2F7D" w:rsidRPr="110985B9">
              <w:rPr>
                <w:rFonts w:eastAsia="Times New Roman" w:cs="Arial"/>
                <w:b/>
                <w:bCs/>
                <w:color w:val="000000" w:themeColor="text1"/>
                <w:lang w:eastAsia="en-AU"/>
              </w:rPr>
              <w:t>1</w:t>
            </w:r>
            <w:r w:rsidRPr="110985B9">
              <w:rPr>
                <w:rFonts w:eastAsia="Times New Roman" w:cs="Arial"/>
                <w:b/>
                <w:bCs/>
                <w:color w:val="000000" w:themeColor="text1"/>
                <w:lang w:eastAsia="en-AU"/>
              </w:rPr>
              <w:t>-204</w:t>
            </w:r>
            <w:r w:rsidR="00CC2F7D" w:rsidRPr="110985B9">
              <w:rPr>
                <w:rFonts w:eastAsia="Times New Roman" w:cs="Arial"/>
                <w:b/>
                <w:bCs/>
                <w:color w:val="000000" w:themeColor="text1"/>
                <w:lang w:eastAsia="en-AU"/>
              </w:rPr>
              <w:t>1</w:t>
            </w:r>
          </w:p>
        </w:tc>
      </w:tr>
      <w:tr w:rsidR="00B07612" w:rsidRPr="00537E40" w14:paraId="64DC5B59" w14:textId="77777777" w:rsidTr="110985B9">
        <w:trPr>
          <w:trHeight w:val="45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009D64D" w14:textId="77777777" w:rsidR="00B07612" w:rsidRPr="00B07612" w:rsidRDefault="00B07612" w:rsidP="00B07612">
            <w:pPr>
              <w:spacing w:after="0" w:line="240" w:lineRule="auto"/>
              <w:rPr>
                <w:rFonts w:eastAsia="Times New Roman" w:cs="Arial"/>
                <w:b/>
                <w:bCs/>
                <w:color w:val="000000"/>
                <w:szCs w:val="20"/>
                <w:lang w:eastAsia="en-AU"/>
              </w:rPr>
            </w:pPr>
            <w:r w:rsidRPr="00B07612">
              <w:rPr>
                <w:rFonts w:eastAsia="Times New Roman" w:cs="Arial"/>
                <w:b/>
                <w:bCs/>
                <w:color w:val="000000"/>
                <w:szCs w:val="20"/>
                <w:lang w:eastAsia="en-AU"/>
              </w:rPr>
              <w:t>Population</w:t>
            </w:r>
          </w:p>
        </w:tc>
        <w:tc>
          <w:tcPr>
            <w:tcW w:w="1276" w:type="dxa"/>
            <w:tcBorders>
              <w:top w:val="nil"/>
              <w:left w:val="nil"/>
              <w:bottom w:val="single" w:sz="4" w:space="0" w:color="auto"/>
              <w:right w:val="single" w:sz="4" w:space="0" w:color="auto"/>
            </w:tcBorders>
            <w:shd w:val="clear" w:color="auto" w:fill="auto"/>
            <w:noWrap/>
            <w:vAlign w:val="center"/>
            <w:hideMark/>
          </w:tcPr>
          <w:p w14:paraId="07CD23A9" w14:textId="1C939F76" w:rsidR="00B07612" w:rsidRPr="00B07612" w:rsidRDefault="00CC2F7D"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153,674</w:t>
            </w:r>
          </w:p>
        </w:tc>
        <w:tc>
          <w:tcPr>
            <w:tcW w:w="1275" w:type="dxa"/>
            <w:tcBorders>
              <w:top w:val="nil"/>
              <w:left w:val="nil"/>
              <w:bottom w:val="single" w:sz="4" w:space="0" w:color="auto"/>
              <w:right w:val="single" w:sz="4" w:space="0" w:color="auto"/>
            </w:tcBorders>
            <w:shd w:val="clear" w:color="auto" w:fill="auto"/>
            <w:noWrap/>
            <w:vAlign w:val="center"/>
            <w:hideMark/>
          </w:tcPr>
          <w:p w14:paraId="7B7060FD" w14:textId="7E11D737" w:rsidR="00B07612" w:rsidRPr="00B07612" w:rsidRDefault="00CC2F7D"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241,391</w:t>
            </w:r>
          </w:p>
        </w:tc>
        <w:tc>
          <w:tcPr>
            <w:tcW w:w="1276" w:type="dxa"/>
            <w:tcBorders>
              <w:top w:val="nil"/>
              <w:left w:val="nil"/>
              <w:bottom w:val="single" w:sz="4" w:space="0" w:color="auto"/>
              <w:right w:val="single" w:sz="4" w:space="0" w:color="auto"/>
            </w:tcBorders>
            <w:shd w:val="clear" w:color="auto" w:fill="auto"/>
            <w:noWrap/>
            <w:vAlign w:val="center"/>
            <w:hideMark/>
          </w:tcPr>
          <w:p w14:paraId="6DEF8A42" w14:textId="1CAFF270" w:rsidR="00B07612" w:rsidRPr="00B07612" w:rsidRDefault="00CC2F7D"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308,190</w:t>
            </w:r>
          </w:p>
        </w:tc>
        <w:tc>
          <w:tcPr>
            <w:tcW w:w="1418" w:type="dxa"/>
            <w:tcBorders>
              <w:top w:val="nil"/>
              <w:left w:val="nil"/>
              <w:bottom w:val="single" w:sz="4" w:space="0" w:color="auto"/>
              <w:right w:val="single" w:sz="4" w:space="0" w:color="auto"/>
            </w:tcBorders>
            <w:shd w:val="clear" w:color="auto" w:fill="auto"/>
            <w:noWrap/>
            <w:vAlign w:val="center"/>
            <w:hideMark/>
          </w:tcPr>
          <w:p w14:paraId="0555222C" w14:textId="0FC0A691" w:rsidR="00B07612" w:rsidRPr="00B07612" w:rsidRDefault="4A67D3D0"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 xml:space="preserve">  </w:t>
            </w:r>
            <w:r w:rsidR="00CC2F7D" w:rsidRPr="110985B9">
              <w:rPr>
                <w:rFonts w:eastAsia="Times New Roman" w:cs="Arial"/>
                <w:color w:val="000000" w:themeColor="text1"/>
                <w:lang w:eastAsia="en-AU"/>
              </w:rPr>
              <w:t>154,516</w:t>
            </w:r>
          </w:p>
        </w:tc>
        <w:tc>
          <w:tcPr>
            <w:tcW w:w="1413" w:type="dxa"/>
            <w:tcBorders>
              <w:top w:val="nil"/>
              <w:left w:val="nil"/>
              <w:bottom w:val="single" w:sz="4" w:space="0" w:color="auto"/>
              <w:right w:val="single" w:sz="4" w:space="0" w:color="auto"/>
            </w:tcBorders>
            <w:shd w:val="clear" w:color="auto" w:fill="auto"/>
            <w:noWrap/>
            <w:vAlign w:val="center"/>
            <w:hideMark/>
          </w:tcPr>
          <w:p w14:paraId="7AEBE098" w14:textId="7F97CB04" w:rsidR="00B07612" w:rsidRPr="00B07612" w:rsidRDefault="00B07612"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3.</w:t>
            </w:r>
            <w:r w:rsidR="00CC2F7D" w:rsidRPr="110985B9">
              <w:rPr>
                <w:rFonts w:eastAsia="Times New Roman" w:cs="Arial"/>
                <w:color w:val="000000" w:themeColor="text1"/>
                <w:lang w:eastAsia="en-AU"/>
              </w:rPr>
              <w:t>5</w:t>
            </w:r>
            <w:r w:rsidRPr="110985B9">
              <w:rPr>
                <w:rFonts w:eastAsia="Times New Roman" w:cs="Arial"/>
                <w:color w:val="000000" w:themeColor="text1"/>
                <w:lang w:eastAsia="en-AU"/>
              </w:rPr>
              <w:t>%</w:t>
            </w:r>
          </w:p>
        </w:tc>
      </w:tr>
      <w:tr w:rsidR="00B07612" w:rsidRPr="00537E40" w14:paraId="49B9AC9D" w14:textId="77777777" w:rsidTr="110985B9">
        <w:trPr>
          <w:trHeight w:val="45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F41B2B3" w14:textId="77777777" w:rsidR="00B07612" w:rsidRPr="00B07612" w:rsidRDefault="00B07612" w:rsidP="00B07612">
            <w:pPr>
              <w:spacing w:after="0" w:line="240" w:lineRule="auto"/>
              <w:rPr>
                <w:rFonts w:eastAsia="Times New Roman" w:cs="Arial"/>
                <w:b/>
                <w:bCs/>
                <w:color w:val="000000"/>
                <w:szCs w:val="20"/>
                <w:lang w:eastAsia="en-AU"/>
              </w:rPr>
            </w:pPr>
            <w:r w:rsidRPr="00B07612">
              <w:rPr>
                <w:rFonts w:eastAsia="Times New Roman" w:cs="Arial"/>
                <w:b/>
                <w:bCs/>
                <w:color w:val="000000"/>
                <w:szCs w:val="20"/>
                <w:lang w:eastAsia="en-AU"/>
              </w:rPr>
              <w:t>Households</w:t>
            </w:r>
          </w:p>
        </w:tc>
        <w:tc>
          <w:tcPr>
            <w:tcW w:w="1276" w:type="dxa"/>
            <w:tcBorders>
              <w:top w:val="nil"/>
              <w:left w:val="nil"/>
              <w:bottom w:val="single" w:sz="4" w:space="0" w:color="auto"/>
              <w:right w:val="single" w:sz="4" w:space="0" w:color="auto"/>
            </w:tcBorders>
            <w:shd w:val="clear" w:color="auto" w:fill="auto"/>
            <w:noWrap/>
            <w:vAlign w:val="center"/>
            <w:hideMark/>
          </w:tcPr>
          <w:p w14:paraId="3AC3EB5C" w14:textId="0E4BBB31" w:rsidR="00B07612" w:rsidRPr="00B07612" w:rsidRDefault="76ADB430"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85,824</w:t>
            </w:r>
          </w:p>
        </w:tc>
        <w:tc>
          <w:tcPr>
            <w:tcW w:w="1275" w:type="dxa"/>
            <w:tcBorders>
              <w:top w:val="nil"/>
              <w:left w:val="nil"/>
              <w:bottom w:val="single" w:sz="4" w:space="0" w:color="auto"/>
              <w:right w:val="single" w:sz="4" w:space="0" w:color="auto"/>
            </w:tcBorders>
            <w:shd w:val="clear" w:color="auto" w:fill="auto"/>
            <w:noWrap/>
            <w:vAlign w:val="center"/>
            <w:hideMark/>
          </w:tcPr>
          <w:p w14:paraId="2B6D62E5" w14:textId="3043213A" w:rsidR="00B07612" w:rsidRPr="00B07612" w:rsidRDefault="76ADB430"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112,135</w:t>
            </w:r>
          </w:p>
        </w:tc>
        <w:tc>
          <w:tcPr>
            <w:tcW w:w="1276" w:type="dxa"/>
            <w:tcBorders>
              <w:top w:val="nil"/>
              <w:left w:val="nil"/>
              <w:bottom w:val="single" w:sz="4" w:space="0" w:color="auto"/>
              <w:right w:val="single" w:sz="4" w:space="0" w:color="auto"/>
            </w:tcBorders>
            <w:shd w:val="clear" w:color="auto" w:fill="auto"/>
            <w:noWrap/>
            <w:vAlign w:val="center"/>
            <w:hideMark/>
          </w:tcPr>
          <w:p w14:paraId="0A72C94E" w14:textId="59FE2A04" w:rsidR="00B07612" w:rsidRPr="00B07612" w:rsidRDefault="76ADB430"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135,618</w:t>
            </w:r>
          </w:p>
        </w:tc>
        <w:tc>
          <w:tcPr>
            <w:tcW w:w="1418" w:type="dxa"/>
            <w:tcBorders>
              <w:top w:val="nil"/>
              <w:left w:val="nil"/>
              <w:bottom w:val="single" w:sz="4" w:space="0" w:color="auto"/>
              <w:right w:val="single" w:sz="4" w:space="0" w:color="auto"/>
            </w:tcBorders>
            <w:shd w:val="clear" w:color="auto" w:fill="auto"/>
            <w:noWrap/>
            <w:vAlign w:val="center"/>
            <w:hideMark/>
          </w:tcPr>
          <w:p w14:paraId="603C1378" w14:textId="63E45CB1" w:rsidR="00B07612" w:rsidRPr="00B07612" w:rsidRDefault="4A67D3D0"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 xml:space="preserve"> </w:t>
            </w:r>
            <w:r w:rsidR="76ADB430" w:rsidRPr="110985B9">
              <w:rPr>
                <w:rFonts w:eastAsia="Times New Roman" w:cs="Arial"/>
                <w:color w:val="000000" w:themeColor="text1"/>
                <w:lang w:eastAsia="en-AU"/>
              </w:rPr>
              <w:t>49,794</w:t>
            </w:r>
          </w:p>
        </w:tc>
        <w:tc>
          <w:tcPr>
            <w:tcW w:w="1413" w:type="dxa"/>
            <w:tcBorders>
              <w:top w:val="nil"/>
              <w:left w:val="nil"/>
              <w:bottom w:val="single" w:sz="4" w:space="0" w:color="auto"/>
              <w:right w:val="single" w:sz="4" w:space="0" w:color="auto"/>
            </w:tcBorders>
            <w:shd w:val="clear" w:color="auto" w:fill="auto"/>
            <w:noWrap/>
            <w:vAlign w:val="center"/>
            <w:hideMark/>
          </w:tcPr>
          <w:p w14:paraId="30A24581" w14:textId="0A3729FB" w:rsidR="00B07612" w:rsidRPr="00B07612" w:rsidRDefault="00B07612"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2.</w:t>
            </w:r>
            <w:r w:rsidR="76ADB430" w:rsidRPr="110985B9">
              <w:rPr>
                <w:rFonts w:eastAsia="Times New Roman" w:cs="Arial"/>
                <w:color w:val="000000" w:themeColor="text1"/>
                <w:lang w:eastAsia="en-AU"/>
              </w:rPr>
              <w:t>3</w:t>
            </w:r>
            <w:r w:rsidRPr="110985B9">
              <w:rPr>
                <w:rFonts w:eastAsia="Times New Roman" w:cs="Arial"/>
                <w:color w:val="000000" w:themeColor="text1"/>
                <w:lang w:eastAsia="en-AU"/>
              </w:rPr>
              <w:t>%</w:t>
            </w:r>
          </w:p>
        </w:tc>
      </w:tr>
      <w:tr w:rsidR="00B07612" w:rsidRPr="00537E40" w14:paraId="29058035" w14:textId="77777777" w:rsidTr="110985B9">
        <w:trPr>
          <w:trHeight w:val="45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668D723" w14:textId="77777777" w:rsidR="00B07612" w:rsidRPr="00B07612" w:rsidRDefault="00B07612" w:rsidP="00B07612">
            <w:pPr>
              <w:spacing w:after="0" w:line="240" w:lineRule="auto"/>
              <w:rPr>
                <w:rFonts w:eastAsia="Times New Roman" w:cs="Arial"/>
                <w:b/>
                <w:bCs/>
                <w:color w:val="000000"/>
                <w:szCs w:val="20"/>
                <w:lang w:eastAsia="en-AU"/>
              </w:rPr>
            </w:pPr>
            <w:r w:rsidRPr="00B07612">
              <w:rPr>
                <w:rFonts w:eastAsia="Times New Roman" w:cs="Arial"/>
                <w:b/>
                <w:bCs/>
                <w:color w:val="000000"/>
                <w:szCs w:val="20"/>
                <w:lang w:eastAsia="en-AU"/>
              </w:rPr>
              <w:t>Jobs</w:t>
            </w:r>
          </w:p>
        </w:tc>
        <w:tc>
          <w:tcPr>
            <w:tcW w:w="1276" w:type="dxa"/>
            <w:tcBorders>
              <w:top w:val="nil"/>
              <w:left w:val="nil"/>
              <w:bottom w:val="single" w:sz="4" w:space="0" w:color="auto"/>
              <w:right w:val="single" w:sz="4" w:space="0" w:color="auto"/>
            </w:tcBorders>
            <w:shd w:val="clear" w:color="auto" w:fill="auto"/>
            <w:noWrap/>
            <w:vAlign w:val="center"/>
            <w:hideMark/>
          </w:tcPr>
          <w:p w14:paraId="08F1BA18" w14:textId="7CB9D055" w:rsidR="00B07612" w:rsidRPr="00B07612" w:rsidRDefault="00CC2F7D"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466,004</w:t>
            </w:r>
          </w:p>
        </w:tc>
        <w:tc>
          <w:tcPr>
            <w:tcW w:w="1275" w:type="dxa"/>
            <w:tcBorders>
              <w:top w:val="nil"/>
              <w:left w:val="nil"/>
              <w:bottom w:val="single" w:sz="4" w:space="0" w:color="auto"/>
              <w:right w:val="single" w:sz="4" w:space="0" w:color="auto"/>
            </w:tcBorders>
            <w:shd w:val="clear" w:color="auto" w:fill="auto"/>
            <w:noWrap/>
            <w:vAlign w:val="center"/>
            <w:hideMark/>
          </w:tcPr>
          <w:p w14:paraId="1C85200B" w14:textId="12C7D09B" w:rsidR="00B07612" w:rsidRPr="00B07612" w:rsidRDefault="00CC2F7D"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574,576</w:t>
            </w:r>
          </w:p>
        </w:tc>
        <w:tc>
          <w:tcPr>
            <w:tcW w:w="1276" w:type="dxa"/>
            <w:tcBorders>
              <w:top w:val="nil"/>
              <w:left w:val="nil"/>
              <w:bottom w:val="single" w:sz="4" w:space="0" w:color="auto"/>
              <w:right w:val="single" w:sz="4" w:space="0" w:color="auto"/>
            </w:tcBorders>
            <w:shd w:val="clear" w:color="auto" w:fill="auto"/>
            <w:noWrap/>
            <w:vAlign w:val="center"/>
            <w:hideMark/>
          </w:tcPr>
          <w:p w14:paraId="47A5BA30" w14:textId="1EE10BCF" w:rsidR="00B07612" w:rsidRPr="00B07612" w:rsidRDefault="00CC2F7D"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659,244</w:t>
            </w:r>
          </w:p>
        </w:tc>
        <w:tc>
          <w:tcPr>
            <w:tcW w:w="1418" w:type="dxa"/>
            <w:tcBorders>
              <w:top w:val="nil"/>
              <w:left w:val="nil"/>
              <w:bottom w:val="single" w:sz="4" w:space="0" w:color="auto"/>
              <w:right w:val="single" w:sz="4" w:space="0" w:color="auto"/>
            </w:tcBorders>
            <w:shd w:val="clear" w:color="auto" w:fill="auto"/>
            <w:noWrap/>
            <w:vAlign w:val="center"/>
            <w:hideMark/>
          </w:tcPr>
          <w:p w14:paraId="261A97BC" w14:textId="620B4F99" w:rsidR="00B07612" w:rsidRPr="00B07612" w:rsidRDefault="00CC2F7D"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193,240</w:t>
            </w:r>
          </w:p>
        </w:tc>
        <w:tc>
          <w:tcPr>
            <w:tcW w:w="1413" w:type="dxa"/>
            <w:tcBorders>
              <w:top w:val="nil"/>
              <w:left w:val="nil"/>
              <w:bottom w:val="single" w:sz="4" w:space="0" w:color="auto"/>
              <w:right w:val="single" w:sz="4" w:space="0" w:color="auto"/>
            </w:tcBorders>
            <w:shd w:val="clear" w:color="auto" w:fill="auto"/>
            <w:noWrap/>
            <w:vAlign w:val="center"/>
            <w:hideMark/>
          </w:tcPr>
          <w:p w14:paraId="23BE8C19" w14:textId="6177BD32" w:rsidR="00B07612" w:rsidRPr="00B07612" w:rsidRDefault="00CC2F7D"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1.7</w:t>
            </w:r>
            <w:r w:rsidR="00B07612" w:rsidRPr="110985B9">
              <w:rPr>
                <w:rFonts w:eastAsia="Times New Roman" w:cs="Arial"/>
                <w:color w:val="000000" w:themeColor="text1"/>
                <w:lang w:eastAsia="en-AU"/>
              </w:rPr>
              <w:t>%</w:t>
            </w:r>
          </w:p>
        </w:tc>
      </w:tr>
      <w:tr w:rsidR="00B07612" w:rsidRPr="00537E40" w14:paraId="2038E228" w14:textId="77777777" w:rsidTr="110985B9">
        <w:trPr>
          <w:trHeight w:val="45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6164169" w14:textId="77777777" w:rsidR="00B07612" w:rsidRPr="00B07612" w:rsidRDefault="00B07612" w:rsidP="00B07612">
            <w:pPr>
              <w:spacing w:after="0" w:line="240" w:lineRule="auto"/>
              <w:rPr>
                <w:rFonts w:eastAsia="Times New Roman" w:cs="Arial"/>
                <w:b/>
                <w:bCs/>
                <w:color w:val="000000"/>
                <w:szCs w:val="20"/>
                <w:lang w:eastAsia="en-AU"/>
              </w:rPr>
            </w:pPr>
            <w:r w:rsidRPr="00B07612">
              <w:rPr>
                <w:rFonts w:eastAsia="Times New Roman" w:cs="Arial"/>
                <w:b/>
                <w:bCs/>
                <w:color w:val="000000"/>
                <w:szCs w:val="20"/>
                <w:lang w:eastAsia="en-AU"/>
              </w:rPr>
              <w:t>Floor space (</w:t>
            </w:r>
            <w:r w:rsidR="00C55026">
              <w:rPr>
                <w:rFonts w:eastAsia="Times New Roman" w:cs="Arial"/>
                <w:b/>
                <w:bCs/>
                <w:color w:val="000000"/>
                <w:szCs w:val="20"/>
                <w:lang w:eastAsia="en-AU"/>
              </w:rPr>
              <w:t>‘000 s</w:t>
            </w:r>
            <w:r w:rsidRPr="00B07612">
              <w:rPr>
                <w:rFonts w:eastAsia="Times New Roman" w:cs="Arial"/>
                <w:b/>
                <w:bCs/>
                <w:color w:val="000000"/>
                <w:szCs w:val="20"/>
                <w:lang w:eastAsia="en-AU"/>
              </w:rPr>
              <w:t>qm)</w:t>
            </w:r>
          </w:p>
        </w:tc>
        <w:tc>
          <w:tcPr>
            <w:tcW w:w="1276" w:type="dxa"/>
            <w:tcBorders>
              <w:top w:val="nil"/>
              <w:left w:val="nil"/>
              <w:bottom w:val="single" w:sz="4" w:space="0" w:color="auto"/>
              <w:right w:val="single" w:sz="4" w:space="0" w:color="auto"/>
            </w:tcBorders>
            <w:shd w:val="clear" w:color="auto" w:fill="auto"/>
            <w:noWrap/>
            <w:vAlign w:val="center"/>
            <w:hideMark/>
          </w:tcPr>
          <w:p w14:paraId="6C5FFBEF" w14:textId="4118F1AE" w:rsidR="00B07612" w:rsidRPr="00B07612" w:rsidRDefault="76ADB430"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26,935</w:t>
            </w:r>
          </w:p>
        </w:tc>
        <w:tc>
          <w:tcPr>
            <w:tcW w:w="1275" w:type="dxa"/>
            <w:tcBorders>
              <w:top w:val="nil"/>
              <w:left w:val="nil"/>
              <w:bottom w:val="single" w:sz="4" w:space="0" w:color="auto"/>
              <w:right w:val="single" w:sz="4" w:space="0" w:color="auto"/>
            </w:tcBorders>
            <w:shd w:val="clear" w:color="auto" w:fill="auto"/>
            <w:noWrap/>
            <w:vAlign w:val="center"/>
            <w:hideMark/>
          </w:tcPr>
          <w:p w14:paraId="76B6A45A" w14:textId="1D09970F" w:rsidR="00B07612" w:rsidRPr="00B07612" w:rsidRDefault="76ADB430"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30,026</w:t>
            </w:r>
          </w:p>
        </w:tc>
        <w:tc>
          <w:tcPr>
            <w:tcW w:w="1276" w:type="dxa"/>
            <w:tcBorders>
              <w:top w:val="nil"/>
              <w:left w:val="nil"/>
              <w:bottom w:val="single" w:sz="4" w:space="0" w:color="auto"/>
              <w:right w:val="single" w:sz="4" w:space="0" w:color="auto"/>
            </w:tcBorders>
            <w:shd w:val="clear" w:color="auto" w:fill="auto"/>
            <w:noWrap/>
            <w:vAlign w:val="center"/>
            <w:hideMark/>
          </w:tcPr>
          <w:p w14:paraId="3071FC53" w14:textId="1A5A638D" w:rsidR="00B07612" w:rsidRPr="00B07612" w:rsidRDefault="76ADB430"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33,246</w:t>
            </w:r>
          </w:p>
        </w:tc>
        <w:tc>
          <w:tcPr>
            <w:tcW w:w="1418" w:type="dxa"/>
            <w:tcBorders>
              <w:top w:val="nil"/>
              <w:left w:val="nil"/>
              <w:bottom w:val="single" w:sz="4" w:space="0" w:color="auto"/>
              <w:right w:val="single" w:sz="4" w:space="0" w:color="auto"/>
            </w:tcBorders>
            <w:shd w:val="clear" w:color="auto" w:fill="auto"/>
            <w:noWrap/>
            <w:vAlign w:val="center"/>
            <w:hideMark/>
          </w:tcPr>
          <w:p w14:paraId="34BCA8E7" w14:textId="1301F00A" w:rsidR="00B07612" w:rsidRPr="00B07612" w:rsidRDefault="76ADB430"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6,311</w:t>
            </w:r>
          </w:p>
        </w:tc>
        <w:tc>
          <w:tcPr>
            <w:tcW w:w="1413" w:type="dxa"/>
            <w:tcBorders>
              <w:top w:val="nil"/>
              <w:left w:val="nil"/>
              <w:bottom w:val="single" w:sz="4" w:space="0" w:color="auto"/>
              <w:right w:val="single" w:sz="4" w:space="0" w:color="auto"/>
            </w:tcBorders>
            <w:shd w:val="clear" w:color="auto" w:fill="auto"/>
            <w:noWrap/>
            <w:vAlign w:val="center"/>
            <w:hideMark/>
          </w:tcPr>
          <w:p w14:paraId="6D6BD8DA" w14:textId="6C70B6EA" w:rsidR="00B07612" w:rsidRPr="00B07612" w:rsidRDefault="00B07612" w:rsidP="110985B9">
            <w:pPr>
              <w:spacing w:after="0" w:line="240" w:lineRule="auto"/>
              <w:jc w:val="right"/>
              <w:rPr>
                <w:rFonts w:eastAsia="Times New Roman" w:cs="Arial"/>
                <w:color w:val="000000"/>
                <w:lang w:eastAsia="en-AU"/>
              </w:rPr>
            </w:pPr>
            <w:r w:rsidRPr="110985B9">
              <w:rPr>
                <w:rFonts w:eastAsia="Times New Roman" w:cs="Arial"/>
                <w:color w:val="000000" w:themeColor="text1"/>
                <w:lang w:eastAsia="en-AU"/>
              </w:rPr>
              <w:t>1.</w:t>
            </w:r>
            <w:r w:rsidR="76ADB430" w:rsidRPr="110985B9">
              <w:rPr>
                <w:rFonts w:eastAsia="Times New Roman" w:cs="Arial"/>
                <w:color w:val="000000" w:themeColor="text1"/>
                <w:lang w:eastAsia="en-AU"/>
              </w:rPr>
              <w:t>1</w:t>
            </w:r>
            <w:r w:rsidRPr="110985B9">
              <w:rPr>
                <w:rFonts w:eastAsia="Times New Roman" w:cs="Arial"/>
                <w:color w:val="000000" w:themeColor="text1"/>
                <w:lang w:eastAsia="en-AU"/>
              </w:rPr>
              <w:t>%</w:t>
            </w:r>
          </w:p>
        </w:tc>
      </w:tr>
    </w:tbl>
    <w:p w14:paraId="19F83069" w14:textId="1ACD817A" w:rsidR="000742EB" w:rsidRDefault="009F0AC1" w:rsidP="110985B9">
      <w:pPr>
        <w:spacing w:before="120"/>
        <w:rPr>
          <w:sz w:val="16"/>
          <w:szCs w:val="16"/>
        </w:rPr>
      </w:pPr>
      <w:r w:rsidRPr="110985B9">
        <w:rPr>
          <w:sz w:val="16"/>
          <w:szCs w:val="16"/>
        </w:rPr>
        <w:t>Source: SGS Economics and Planning, 202</w:t>
      </w:r>
      <w:r w:rsidR="00CC2F7D" w:rsidRPr="110985B9">
        <w:rPr>
          <w:sz w:val="16"/>
          <w:szCs w:val="16"/>
        </w:rPr>
        <w:t>2</w:t>
      </w:r>
    </w:p>
    <w:p w14:paraId="0BEE0270" w14:textId="77777777" w:rsidR="00E90CEB" w:rsidRPr="00E90CEB" w:rsidRDefault="00E90CEB" w:rsidP="008E0C7D">
      <w:pPr>
        <w:spacing w:before="120" w:after="360"/>
        <w:rPr>
          <w:szCs w:val="20"/>
        </w:rPr>
      </w:pPr>
      <w:r w:rsidRPr="00E90CEB">
        <w:rPr>
          <w:szCs w:val="20"/>
        </w:rPr>
        <w:t xml:space="preserve">Accessible data tables can be viewed </w:t>
      </w:r>
      <w:r w:rsidR="00B61D4E">
        <w:rPr>
          <w:szCs w:val="20"/>
        </w:rPr>
        <w:t>at</w:t>
      </w:r>
      <w:r w:rsidR="00BF4912">
        <w:rPr>
          <w:szCs w:val="20"/>
        </w:rPr>
        <w:t xml:space="preserve"> </w:t>
      </w:r>
      <w:r w:rsidRPr="00E90CEB">
        <w:rPr>
          <w:szCs w:val="20"/>
        </w:rPr>
        <w:t>Appendix</w:t>
      </w:r>
      <w:r w:rsidR="00B61D4E">
        <w:rPr>
          <w:szCs w:val="20"/>
        </w:rPr>
        <w:t xml:space="preserve"> 1</w:t>
      </w:r>
      <w:r w:rsidRPr="00E90CEB">
        <w:rPr>
          <w:szCs w:val="20"/>
        </w:rPr>
        <w:t xml:space="preserve"> at the end of this document.</w:t>
      </w:r>
    </w:p>
    <w:p w14:paraId="5F108E2A" w14:textId="77777777" w:rsidR="000742EB" w:rsidRPr="00917227" w:rsidRDefault="007F64BD" w:rsidP="001D104E">
      <w:pPr>
        <w:pStyle w:val="Heading2"/>
        <w:rPr>
          <w:rFonts w:hint="eastAsia"/>
        </w:rPr>
      </w:pPr>
      <w:bookmarkStart w:id="12" w:name="_Toc119682380"/>
      <w:r>
        <w:t>Population and jobs</w:t>
      </w:r>
      <w:r w:rsidRPr="007F64BD">
        <w:t xml:space="preserve"> g</w:t>
      </w:r>
      <w:r w:rsidR="000742EB" w:rsidRPr="00917227">
        <w:t>rowth by area</w:t>
      </w:r>
      <w:bookmarkEnd w:id="12"/>
      <w:r w:rsidR="000742EB" w:rsidRPr="00917227">
        <w:t xml:space="preserve"> </w:t>
      </w:r>
    </w:p>
    <w:p w14:paraId="51E4DCAD" w14:textId="5212CCEA" w:rsidR="00C14D31" w:rsidRPr="00537E40" w:rsidRDefault="00C14D31" w:rsidP="008E0C7D">
      <w:pPr>
        <w:pStyle w:val="ListParagraph"/>
        <w:numPr>
          <w:ilvl w:val="0"/>
          <w:numId w:val="32"/>
        </w:numPr>
      </w:pPr>
      <w:r>
        <w:t>The Melbourne (CBD) will continue to be the most attractive location for residential and employment</w:t>
      </w:r>
      <w:r w:rsidR="00917227">
        <w:t xml:space="preserve"> growth</w:t>
      </w:r>
      <w:r>
        <w:t xml:space="preserve">, adding 45,000 residents and </w:t>
      </w:r>
      <w:r w:rsidR="00E61CD0">
        <w:t>76</w:t>
      </w:r>
      <w:r>
        <w:t>,000 jobs by 204</w:t>
      </w:r>
      <w:r w:rsidR="00E61CD0">
        <w:t>1</w:t>
      </w:r>
      <w:r>
        <w:t xml:space="preserve">. This will see it capture </w:t>
      </w:r>
      <w:r w:rsidR="00963946">
        <w:t xml:space="preserve">39 </w:t>
      </w:r>
      <w:r>
        <w:t xml:space="preserve">per cent of </w:t>
      </w:r>
      <w:r w:rsidR="00963946">
        <w:t>193</w:t>
      </w:r>
      <w:r w:rsidR="00AC5322">
        <w:t xml:space="preserve">,000 </w:t>
      </w:r>
      <w:r>
        <w:t xml:space="preserve">additional jobs </w:t>
      </w:r>
      <w:r w:rsidR="009808EC">
        <w:t xml:space="preserve">across the municipality </w:t>
      </w:r>
      <w:r>
        <w:t>over the next 20 years.</w:t>
      </w:r>
    </w:p>
    <w:p w14:paraId="0A37501D" w14:textId="4CD4FAB5" w:rsidR="006E028D" w:rsidRPr="00537E40" w:rsidRDefault="00C14D31" w:rsidP="008E0C7D">
      <w:pPr>
        <w:pStyle w:val="ListParagraph"/>
        <w:numPr>
          <w:ilvl w:val="0"/>
          <w:numId w:val="32"/>
        </w:numPr>
      </w:pPr>
      <w:r>
        <w:lastRenderedPageBreak/>
        <w:t>Docklands and Southbank, which are highly accessible locations, will also experience rapid residential and employment growth out to 204</w:t>
      </w:r>
      <w:r w:rsidR="00963946">
        <w:t>1</w:t>
      </w:r>
      <w:r>
        <w:t xml:space="preserve">. Docklands will add </w:t>
      </w:r>
      <w:r w:rsidR="00963946">
        <w:t>17</w:t>
      </w:r>
      <w:r>
        <w:t>,000 residents and 2</w:t>
      </w:r>
      <w:r w:rsidR="00963946">
        <w:t>1</w:t>
      </w:r>
      <w:r>
        <w:t xml:space="preserve">,000 jobs, while Southbank is anticipated to </w:t>
      </w:r>
      <w:r w:rsidR="005479A8">
        <w:t>increase with</w:t>
      </w:r>
      <w:r>
        <w:t xml:space="preserve"> 22,000 residents and </w:t>
      </w:r>
      <w:r w:rsidR="00963946">
        <w:t>15</w:t>
      </w:r>
      <w:r>
        <w:t>,000 jobs.</w:t>
      </w:r>
    </w:p>
    <w:p w14:paraId="065BB9E4" w14:textId="77777777" w:rsidR="005939CE" w:rsidRPr="0067188C" w:rsidRDefault="00C14D31" w:rsidP="110985B9">
      <w:pPr>
        <w:pStyle w:val="ListParagraph"/>
        <w:numPr>
          <w:ilvl w:val="0"/>
          <w:numId w:val="32"/>
        </w:numPr>
        <w:rPr>
          <w:b/>
          <w:bCs/>
        </w:rPr>
      </w:pPr>
      <w:r>
        <w:t>North Melbourne and West Melbourne (</w:t>
      </w:r>
      <w:r w:rsidR="005479A8">
        <w:t>r</w:t>
      </w:r>
      <w:r>
        <w:t xml:space="preserve">esidential) will also see significant population and employment growth, largely driven by major </w:t>
      </w:r>
      <w:r w:rsidR="00917227">
        <w:t>u</w:t>
      </w:r>
      <w:r>
        <w:t xml:space="preserve">rban </w:t>
      </w:r>
      <w:r w:rsidR="00917227">
        <w:t>r</w:t>
      </w:r>
      <w:r>
        <w:t xml:space="preserve">enewal </w:t>
      </w:r>
      <w:r w:rsidR="00917227">
        <w:t>a</w:t>
      </w:r>
      <w:r>
        <w:t>reas. Port Melbourne will largely be commercial in nature, with strong growth in institutional jobs associated with anchors such as the University of Melbourne engineering and design campus</w:t>
      </w:r>
      <w:r w:rsidR="00963946">
        <w:t>.</w:t>
      </w:r>
      <w:r w:rsidR="005939CE">
        <w:t xml:space="preserve"> </w:t>
      </w:r>
    </w:p>
    <w:p w14:paraId="60A465E5" w14:textId="77777777" w:rsidR="005939CE" w:rsidRPr="00917227" w:rsidRDefault="005939CE" w:rsidP="001D104E">
      <w:pPr>
        <w:pStyle w:val="Heading2"/>
        <w:rPr>
          <w:rFonts w:hint="eastAsia"/>
        </w:rPr>
      </w:pPr>
      <w:bookmarkStart w:id="13" w:name="_Toc119682381"/>
      <w:r w:rsidRPr="00917227">
        <w:t>Jobs by service</w:t>
      </w:r>
      <w:bookmarkEnd w:id="13"/>
      <w:r w:rsidRPr="00917227">
        <w:t xml:space="preserve"> </w:t>
      </w:r>
    </w:p>
    <w:p w14:paraId="5EA6CA44" w14:textId="53808EA5" w:rsidR="005939CE" w:rsidRDefault="00C14D31" w:rsidP="00E57B1C">
      <w:pPr>
        <w:pStyle w:val="ListParagraph"/>
        <w:numPr>
          <w:ilvl w:val="0"/>
          <w:numId w:val="48"/>
        </w:numPr>
        <w:ind w:left="714" w:hanging="357"/>
      </w:pPr>
      <w:r>
        <w:t>Jobs in b</w:t>
      </w:r>
      <w:r w:rsidR="003A5674">
        <w:t>usiness services, health care and social assistance, and education and training will contribute 2</w:t>
      </w:r>
      <w:r w:rsidR="00963946">
        <w:t>5</w:t>
      </w:r>
      <w:r w:rsidR="003A5674">
        <w:t>, 1</w:t>
      </w:r>
      <w:r w:rsidR="00963946">
        <w:t>7</w:t>
      </w:r>
      <w:r w:rsidR="00000D7B">
        <w:t xml:space="preserve"> </w:t>
      </w:r>
      <w:r w:rsidR="003A5674">
        <w:t xml:space="preserve">and </w:t>
      </w:r>
      <w:r w:rsidR="00230CC9">
        <w:t xml:space="preserve">11 </w:t>
      </w:r>
      <w:r w:rsidR="003A5674">
        <w:t xml:space="preserve">per cent respectively, representing </w:t>
      </w:r>
      <w:r w:rsidR="00230CC9">
        <w:t xml:space="preserve">53 </w:t>
      </w:r>
      <w:r w:rsidR="003A5674">
        <w:t>per cent of all employment growth between 202</w:t>
      </w:r>
      <w:r w:rsidR="00230CC9">
        <w:t>1</w:t>
      </w:r>
      <w:r w:rsidR="003A5674">
        <w:t xml:space="preserve"> and 204</w:t>
      </w:r>
      <w:r w:rsidR="00230CC9">
        <w:t>1</w:t>
      </w:r>
      <w:r w:rsidR="003A5674">
        <w:t xml:space="preserve">. </w:t>
      </w:r>
    </w:p>
    <w:p w14:paraId="2E4C69B5" w14:textId="77777777" w:rsidR="003A5674" w:rsidRDefault="003A5674" w:rsidP="00F642C8">
      <w:pPr>
        <w:pStyle w:val="ListParagraph"/>
        <w:numPr>
          <w:ilvl w:val="0"/>
          <w:numId w:val="48"/>
        </w:numPr>
        <w:spacing w:after="240"/>
        <w:ind w:left="714" w:hanging="357"/>
      </w:pPr>
      <w:r w:rsidRPr="00537E40">
        <w:t xml:space="preserve">Food and beverage services </w:t>
      </w:r>
      <w:r w:rsidR="00C14D31" w:rsidRPr="00537E40">
        <w:t>will also grow</w:t>
      </w:r>
      <w:r w:rsidRPr="00537E40">
        <w:t xml:space="preserve"> strongly, reflecting a recovery from the impacts of COVID-19.</w:t>
      </w:r>
    </w:p>
    <w:p w14:paraId="0E58C6D3" w14:textId="77777777" w:rsidR="003E7B6C" w:rsidRPr="001916BF" w:rsidRDefault="003E7B6C" w:rsidP="001D104E">
      <w:pPr>
        <w:pStyle w:val="Heading2"/>
        <w:rPr>
          <w:rFonts w:hint="eastAsia"/>
        </w:rPr>
      </w:pPr>
      <w:bookmarkStart w:id="14" w:name="_Toc119682382"/>
      <w:r w:rsidRPr="001916BF">
        <w:t>Floor space</w:t>
      </w:r>
      <w:r w:rsidR="00664502">
        <w:t xml:space="preserve"> (</w:t>
      </w:r>
      <w:r w:rsidR="001916BF">
        <w:t>e</w:t>
      </w:r>
      <w:r w:rsidR="00664502">
        <w:t>mployment)</w:t>
      </w:r>
      <w:bookmarkEnd w:id="14"/>
    </w:p>
    <w:p w14:paraId="56C0816C" w14:textId="77777777" w:rsidR="003A5674" w:rsidRPr="00537E40" w:rsidRDefault="00537E40" w:rsidP="008E0C7D">
      <w:r>
        <w:t xml:space="preserve">Notably </w:t>
      </w:r>
      <w:r w:rsidRPr="005939CE">
        <w:t>e</w:t>
      </w:r>
      <w:r w:rsidR="003A5674" w:rsidRPr="005939CE">
        <w:t>mployment floor</w:t>
      </w:r>
      <w:r w:rsidR="00C14D31" w:rsidRPr="005939CE">
        <w:t xml:space="preserve"> </w:t>
      </w:r>
      <w:r w:rsidR="003A5674" w:rsidRPr="005939CE">
        <w:t>space</w:t>
      </w:r>
      <w:r w:rsidR="003A5674" w:rsidRPr="00537E40">
        <w:t xml:space="preserve"> demand</w:t>
      </w:r>
      <w:r w:rsidR="00C14D31" w:rsidRPr="00537E40">
        <w:t xml:space="preserve"> will grow</w:t>
      </w:r>
      <w:r w:rsidR="003A5674" w:rsidRPr="00537E40">
        <w:t xml:space="preserve"> at a slower rate than jobs. This is the result of declining </w:t>
      </w:r>
      <w:r w:rsidR="003A5674" w:rsidRPr="005939CE">
        <w:t>floor</w:t>
      </w:r>
      <w:r w:rsidR="00C14D31" w:rsidRPr="005939CE">
        <w:t xml:space="preserve"> </w:t>
      </w:r>
      <w:r w:rsidR="003A5674" w:rsidRPr="005939CE">
        <w:t>space ratios</w:t>
      </w:r>
      <w:r w:rsidR="003A5674" w:rsidRPr="00537E40">
        <w:t xml:space="preserve"> which are driven by two factors:</w:t>
      </w:r>
    </w:p>
    <w:p w14:paraId="0DE9208D" w14:textId="77777777" w:rsidR="003A5674" w:rsidRDefault="003A5674" w:rsidP="00E57B1C">
      <w:pPr>
        <w:pStyle w:val="ListParagraph"/>
        <w:numPr>
          <w:ilvl w:val="0"/>
          <w:numId w:val="49"/>
        </w:numPr>
        <w:ind w:left="714" w:hanging="357"/>
      </w:pPr>
      <w:r w:rsidRPr="00537E40">
        <w:t>A changing industry composition towards sectors which have lower space requirements.</w:t>
      </w:r>
    </w:p>
    <w:p w14:paraId="1A2D5D83" w14:textId="77777777" w:rsidR="003A5674" w:rsidRPr="00537E40" w:rsidRDefault="003A5674" w:rsidP="002507F4">
      <w:pPr>
        <w:pStyle w:val="ListParagraph"/>
        <w:numPr>
          <w:ilvl w:val="0"/>
          <w:numId w:val="49"/>
        </w:numPr>
        <w:spacing w:after="200"/>
        <w:ind w:left="714" w:hanging="357"/>
      </w:pPr>
      <w:r w:rsidRPr="00537E40">
        <w:t xml:space="preserve">More intensive </w:t>
      </w:r>
      <w:r w:rsidR="001916BF">
        <w:t>existing</w:t>
      </w:r>
      <w:r w:rsidR="001916BF" w:rsidRPr="001916BF">
        <w:t xml:space="preserve"> </w:t>
      </w:r>
      <w:r w:rsidRPr="001916BF">
        <w:t>space use stemming fro</w:t>
      </w:r>
      <w:r w:rsidRPr="00537E40">
        <w:t xml:space="preserve">m trends such as increasing remote work, </w:t>
      </w:r>
      <w:proofErr w:type="spellStart"/>
      <w:r w:rsidRPr="00537E40">
        <w:t>utilisation</w:t>
      </w:r>
      <w:proofErr w:type="spellEnd"/>
      <w:r w:rsidRPr="00537E40">
        <w:t xml:space="preserve"> over longer hours of the day, and more efficient processes (e.g., cloud vs paper storage).</w:t>
      </w:r>
    </w:p>
    <w:p w14:paraId="62F3A6C8" w14:textId="77777777" w:rsidR="00363025" w:rsidRDefault="00363025" w:rsidP="008E0C7D">
      <w:r>
        <w:t>A list of industries an</w:t>
      </w:r>
      <w:r w:rsidR="008C23CF">
        <w:t>d</w:t>
      </w:r>
      <w:r>
        <w:t xml:space="preserve"> space use categories is provided in Appendi</w:t>
      </w:r>
      <w:r w:rsidR="008C23CF">
        <w:t>ces</w:t>
      </w:r>
      <w:r>
        <w:t xml:space="preserve"> 2</w:t>
      </w:r>
      <w:r w:rsidR="008C23CF">
        <w:t xml:space="preserve"> &amp; 3</w:t>
      </w:r>
      <w:r>
        <w:t xml:space="preserve"> at the end of this document.</w:t>
      </w:r>
    </w:p>
    <w:p w14:paraId="206DFFD0" w14:textId="77777777" w:rsidR="00FF7F13" w:rsidRPr="00537E40" w:rsidRDefault="00390B3A" w:rsidP="008E0C7D">
      <w:pPr>
        <w:pStyle w:val="Heading1"/>
        <w:rPr>
          <w:rFonts w:hint="eastAsia"/>
        </w:rPr>
      </w:pPr>
      <w:bookmarkStart w:id="15" w:name="_Toc119682383"/>
      <w:r w:rsidRPr="00537E40">
        <w:t>Method</w:t>
      </w:r>
      <w:bookmarkEnd w:id="15"/>
    </w:p>
    <w:p w14:paraId="2A41EE9B" w14:textId="44EF4460" w:rsidR="00E71B94" w:rsidRPr="00537E40" w:rsidRDefault="007949CF" w:rsidP="008E0C7D">
      <w:r>
        <w:t xml:space="preserve">Forecasts were </w:t>
      </w:r>
      <w:r w:rsidR="005432C1">
        <w:t xml:space="preserve">prepared </w:t>
      </w:r>
      <w:r>
        <w:t xml:space="preserve">by SGS Economics and Planning (SGS) </w:t>
      </w:r>
      <w:r w:rsidR="00E71B94">
        <w:t xml:space="preserve">during </w:t>
      </w:r>
      <w:r w:rsidR="00306BA6">
        <w:t xml:space="preserve">March </w:t>
      </w:r>
      <w:r w:rsidR="00E71B94">
        <w:t>202</w:t>
      </w:r>
      <w:r w:rsidR="00306BA6">
        <w:t>2</w:t>
      </w:r>
      <w:r w:rsidR="00E71B94">
        <w:t xml:space="preserve"> to </w:t>
      </w:r>
      <w:r w:rsidR="00306BA6">
        <w:t xml:space="preserve">October </w:t>
      </w:r>
      <w:r w:rsidR="00E71B94">
        <w:t>202</w:t>
      </w:r>
      <w:r w:rsidR="00306BA6">
        <w:t>2</w:t>
      </w:r>
      <w:r w:rsidR="00873506">
        <w:t xml:space="preserve">.  </w:t>
      </w:r>
      <w:r w:rsidR="00E71B94">
        <w:t>A combined top-down (i.e., macroeconomic trends and drivers) and bottom-up (i.e., development supply and local attractiveness factors) approach was used to forecast all variables in an integrated environment.</w:t>
      </w:r>
    </w:p>
    <w:p w14:paraId="139AB5A3" w14:textId="77777777" w:rsidR="00E71B94" w:rsidRPr="00537E40" w:rsidRDefault="00E71B94" w:rsidP="008E0C7D">
      <w:r w:rsidRPr="00537E40">
        <w:t>Below summarises the overall forecasting approach</w:t>
      </w:r>
      <w:r w:rsidR="005479A8">
        <w:t>:</w:t>
      </w:r>
    </w:p>
    <w:p w14:paraId="46A4C76E" w14:textId="356D9FC2" w:rsidR="00E71B94" w:rsidRPr="00BF4912" w:rsidRDefault="005479A8" w:rsidP="009042E8">
      <w:pPr>
        <w:pStyle w:val="ListParagraph"/>
        <w:numPr>
          <w:ilvl w:val="0"/>
          <w:numId w:val="32"/>
        </w:numPr>
      </w:pPr>
      <w:r>
        <w:t xml:space="preserve">The </w:t>
      </w:r>
      <w:r w:rsidR="00E71B94">
        <w:t xml:space="preserve">City of Melbourne </w:t>
      </w:r>
      <w:r w:rsidR="00B61D4E">
        <w:t>Census of Land Use and Employment (</w:t>
      </w:r>
      <w:r w:rsidR="00E71B94">
        <w:t>CLUE</w:t>
      </w:r>
      <w:r w:rsidR="00B61D4E">
        <w:t>)</w:t>
      </w:r>
      <w:r w:rsidR="00E71B94">
        <w:t xml:space="preserve"> data, along with A</w:t>
      </w:r>
      <w:r w:rsidR="001916BF">
        <w:t xml:space="preserve">ustralian </w:t>
      </w:r>
      <w:r w:rsidR="00E71B94">
        <w:t>B</w:t>
      </w:r>
      <w:r w:rsidR="001916BF">
        <w:t>ureau of Statistics Census and regional Estimated Resident Population (ERP) data</w:t>
      </w:r>
      <w:r w:rsidR="00E71B94">
        <w:t xml:space="preserve">, are used to determine a base year estimate for all variables and to model trends in </w:t>
      </w:r>
      <w:r w:rsidR="00F568BB">
        <w:t>floor space</w:t>
      </w:r>
      <w:r w:rsidR="00E71B94">
        <w:t xml:space="preserve"> type preferences and usage.</w:t>
      </w:r>
      <w:r w:rsidR="004B76A3">
        <w:t xml:space="preserve"> </w:t>
      </w:r>
      <w:r w:rsidR="009042E8">
        <w:t>Specifically, CLUE 20</w:t>
      </w:r>
      <w:r w:rsidR="00306BA6">
        <w:t>20</w:t>
      </w:r>
      <w:r w:rsidR="009042E8">
        <w:t xml:space="preserve"> and ERP </w:t>
      </w:r>
      <w:proofErr w:type="gramStart"/>
      <w:r w:rsidR="009042E8">
        <w:t>at</w:t>
      </w:r>
      <w:proofErr w:type="gramEnd"/>
      <w:r w:rsidR="009042E8">
        <w:t xml:space="preserve"> 30 June 202</w:t>
      </w:r>
      <w:r w:rsidR="00306BA6">
        <w:t>1</w:t>
      </w:r>
      <w:r w:rsidR="009042E8">
        <w:t xml:space="preserve"> (with a status of preliminary</w:t>
      </w:r>
      <w:r w:rsidR="00306BA6">
        <w:t xml:space="preserve"> rebased, released on 26 July 2022</w:t>
      </w:r>
      <w:r w:rsidR="009042E8">
        <w:t>) were used for the base year (202</w:t>
      </w:r>
      <w:r w:rsidR="00306BA6">
        <w:t>1</w:t>
      </w:r>
      <w:r w:rsidR="009042E8">
        <w:t>) estimates. Note these may be superseded by updated data after the release of this publication.</w:t>
      </w:r>
    </w:p>
    <w:p w14:paraId="77787483" w14:textId="77777777" w:rsidR="00E71B94" w:rsidRPr="00537E40" w:rsidRDefault="00E71B94" w:rsidP="008E0C7D">
      <w:pPr>
        <w:pStyle w:val="ListParagraph"/>
        <w:numPr>
          <w:ilvl w:val="0"/>
          <w:numId w:val="32"/>
        </w:numPr>
      </w:pPr>
      <w:r>
        <w:t>Macroeconomic forecasts of population demographics and employment by industry, are forecast through a population cohort-component model and SGS’ State-wide employment model.</w:t>
      </w:r>
    </w:p>
    <w:p w14:paraId="1241EF40" w14:textId="77777777" w:rsidR="00E71B94" w:rsidRPr="00537E40" w:rsidRDefault="00E71B94" w:rsidP="008E0C7D">
      <w:pPr>
        <w:pStyle w:val="ListParagraph"/>
        <w:numPr>
          <w:ilvl w:val="0"/>
          <w:numId w:val="32"/>
        </w:numPr>
      </w:pPr>
      <w:r>
        <w:t>Development capacity and known redevelopment, at a building level, is estimated using data from the City of Melbourne’s Development Activity Model (DAM) and Development Capacity Model (DCM). For renewal areas, this is supplemented with structure plan guidance on future development controls and timing.</w:t>
      </w:r>
    </w:p>
    <w:p w14:paraId="44E1401E" w14:textId="77777777" w:rsidR="00E71B94" w:rsidRPr="00537E40" w:rsidRDefault="00873506" w:rsidP="008E0C7D">
      <w:pPr>
        <w:pStyle w:val="ListParagraph"/>
        <w:numPr>
          <w:ilvl w:val="0"/>
          <w:numId w:val="32"/>
        </w:numPr>
      </w:pPr>
      <w:r>
        <w:t>Area</w:t>
      </w:r>
      <w:r w:rsidR="00E71B94">
        <w:t xml:space="preserve"> development attractiveness is estimated through a range of datasets to proxy various factors that drive growth for different land use types. Base development trends are calibrated to historical attractiveness. This means if attractiveness did not change land use would continue to be distributed </w:t>
      </w:r>
      <w:r w:rsidR="00E71B94">
        <w:lastRenderedPageBreak/>
        <w:t>in line with past trends. However, as attractiveness changes (e.g., a new train station), so too do development patterns.</w:t>
      </w:r>
    </w:p>
    <w:p w14:paraId="7FEAB77E" w14:textId="77777777" w:rsidR="00873506" w:rsidRPr="00537E40" w:rsidRDefault="00873506" w:rsidP="008E0C7D">
      <w:pPr>
        <w:pStyle w:val="ListParagraph"/>
        <w:numPr>
          <w:ilvl w:val="0"/>
          <w:numId w:val="32"/>
        </w:numPr>
      </w:pPr>
      <w:r>
        <w:t xml:space="preserve">A two-step allocation model distributes the LGA-level forecasts to areas. This process is driven by the estimated attractiveness of each area (to individual types of land use) and simultaneously considers both residential and employment </w:t>
      </w:r>
      <w:r w:rsidR="00F568BB">
        <w:t>floor space</w:t>
      </w:r>
      <w:r>
        <w:t>. Capacity constraints also ensure that total development does not exceed plausible bounds.</w:t>
      </w:r>
    </w:p>
    <w:p w14:paraId="507BC8FE" w14:textId="77777777" w:rsidR="009F0AC1" w:rsidRPr="008E0C7D" w:rsidRDefault="00F568BB" w:rsidP="008E0C7D">
      <w:pPr>
        <w:pStyle w:val="ListParagraph"/>
        <w:numPr>
          <w:ilvl w:val="0"/>
          <w:numId w:val="32"/>
        </w:numPr>
      </w:pPr>
      <w:r>
        <w:t>Floor space</w:t>
      </w:r>
      <w:r w:rsidR="00873506">
        <w:t xml:space="preserve"> forecasts are translated to estimates of dwellings</w:t>
      </w:r>
      <w:r w:rsidR="008519B9">
        <w:t>, population,</w:t>
      </w:r>
      <w:r w:rsidR="00873506">
        <w:t xml:space="preserve"> and jobs which align with the LGA-wide estimates calculated previously, while also reflecting the expected industry composition of local areas, which is particularly relevant for renewal areas undergoing transformation.</w:t>
      </w:r>
    </w:p>
    <w:p w14:paraId="1205ED09" w14:textId="77777777" w:rsidR="00537E40" w:rsidRPr="00537E40" w:rsidRDefault="00537E40" w:rsidP="00537E40">
      <w:pPr>
        <w:pStyle w:val="Heading1"/>
        <w:rPr>
          <w:rFonts w:hint="eastAsia"/>
        </w:rPr>
      </w:pPr>
      <w:bookmarkStart w:id="16" w:name="_Toc119682384"/>
      <w:r>
        <w:t>COVID-19 context</w:t>
      </w:r>
      <w:bookmarkEnd w:id="16"/>
    </w:p>
    <w:p w14:paraId="61F305D9" w14:textId="7FB23C51" w:rsidR="00537E40" w:rsidRPr="00537E40" w:rsidRDefault="00537E40" w:rsidP="00537E40">
      <w:r>
        <w:t>During 2020</w:t>
      </w:r>
      <w:r w:rsidR="00C96F42">
        <w:t xml:space="preserve"> and 2021</w:t>
      </w:r>
      <w:r>
        <w:t xml:space="preserve">, population and employment levels, and trends, in the City of Melbourne were heavily impacted by the effects of COVID-19 and the associated restrictions introduced to stop the spread of the virus. These restrictions stopped overseas migration (a key driver of population growth) and resulted in many people either working from home, working reduced hours, or </w:t>
      </w:r>
      <w:r w:rsidR="003E7765">
        <w:t>losing</w:t>
      </w:r>
      <w:r w:rsidR="00A31170">
        <w:t xml:space="preserve"> employment</w:t>
      </w:r>
      <w:r>
        <w:t>. Universities and other tertiary institutions were also heavily impacted, with international students not allowed</w:t>
      </w:r>
      <w:r w:rsidR="00A31170">
        <w:t xml:space="preserve"> to enter</w:t>
      </w:r>
      <w:r w:rsidR="003E7765">
        <w:t xml:space="preserve"> Australia and courses</w:t>
      </w:r>
      <w:r>
        <w:t xml:space="preserve"> </w:t>
      </w:r>
      <w:r w:rsidR="00822FD5">
        <w:t>largely moving to online delivery</w:t>
      </w:r>
      <w:r>
        <w:t xml:space="preserve">. International tourism also ceased during the pandemic, and many major events </w:t>
      </w:r>
      <w:r w:rsidR="00466845">
        <w:t>were</w:t>
      </w:r>
      <w:r>
        <w:t xml:space="preserve"> cancelled or heavily restricted. These direct impacts have had flow on impacts across the economy, particularly for the services sectors.</w:t>
      </w:r>
    </w:p>
    <w:p w14:paraId="4301DE97" w14:textId="13FECD70" w:rsidR="00537E40" w:rsidRPr="00A47634" w:rsidRDefault="00537E40" w:rsidP="00537E40">
      <w:r>
        <w:t>The direct impact (in 2020</w:t>
      </w:r>
      <w:r w:rsidR="00C96F42">
        <w:t xml:space="preserve"> and 2021</w:t>
      </w:r>
      <w:r>
        <w:t xml:space="preserve">) of the pandemic on the City of Melbourne is largely known now. However, the short-term and long-term recovery pathway is still very uncertain. This pathway depends on a range of external factors, such </w:t>
      </w:r>
      <w:r w:rsidR="00ED24CE">
        <w:t>national/global economic trends and migration policy</w:t>
      </w:r>
      <w:r>
        <w:t>. It is also uncertain to what degree the pandemic will create fundamental behavioural changes in where people live and how they work (</w:t>
      </w:r>
      <w:proofErr w:type="gramStart"/>
      <w:r>
        <w:t>e.g.</w:t>
      </w:r>
      <w:proofErr w:type="gramEnd"/>
      <w:r>
        <w:t xml:space="preserve"> for how many workers will working from home become a permanent outcome?)</w:t>
      </w:r>
      <w:r w:rsidR="00466845">
        <w:t>.</w:t>
      </w:r>
    </w:p>
    <w:p w14:paraId="55AA3C5E" w14:textId="77777777" w:rsidR="00537E40" w:rsidRPr="00537E40" w:rsidRDefault="00537E40" w:rsidP="00537E40">
      <w:r w:rsidRPr="00A47634">
        <w:t xml:space="preserve">Given the ongoing uncertainty associated with the COVID-19 pandemic, there is a high degree of uncertainty when forecasting </w:t>
      </w:r>
      <w:r w:rsidR="003A061E" w:rsidRPr="001916BF">
        <w:t>population</w:t>
      </w:r>
      <w:r w:rsidR="00E87367">
        <w:t xml:space="preserve"> and</w:t>
      </w:r>
      <w:r w:rsidR="001916BF">
        <w:t xml:space="preserve"> </w:t>
      </w:r>
      <w:r w:rsidR="003A061E" w:rsidRPr="001916BF">
        <w:t xml:space="preserve">jobs </w:t>
      </w:r>
      <w:r w:rsidRPr="00E87367">
        <w:t>within this context</w:t>
      </w:r>
      <w:r w:rsidR="001916BF">
        <w:t>, a</w:t>
      </w:r>
      <w:r w:rsidRPr="00E87367">
        <w:t>nd</w:t>
      </w:r>
      <w:r w:rsidR="001916BF">
        <w:t xml:space="preserve"> </w:t>
      </w:r>
      <w:r w:rsidR="00E87367">
        <w:t xml:space="preserve">this should be considered </w:t>
      </w:r>
      <w:r w:rsidRPr="00E87367">
        <w:t>when interpreting the forecast results and assumptions.</w:t>
      </w:r>
      <w:r w:rsidRPr="00537E40">
        <w:t xml:space="preserve"> </w:t>
      </w:r>
    </w:p>
    <w:p w14:paraId="4428CAEC" w14:textId="77777777" w:rsidR="00F10CFA" w:rsidRPr="00537E40" w:rsidRDefault="0033322C" w:rsidP="00537E40">
      <w:pPr>
        <w:pStyle w:val="Heading1"/>
        <w:rPr>
          <w:rFonts w:hint="eastAsia"/>
        </w:rPr>
      </w:pPr>
      <w:bookmarkStart w:id="17" w:name="_Toc119682385"/>
      <w:r w:rsidRPr="00537E40">
        <w:t>Forecast a</w:t>
      </w:r>
      <w:r w:rsidR="00953D3C" w:rsidRPr="00537E40">
        <w:t>s</w:t>
      </w:r>
      <w:r w:rsidR="00F10CFA" w:rsidRPr="00537E40">
        <w:t>sumptions</w:t>
      </w:r>
      <w:bookmarkEnd w:id="17"/>
    </w:p>
    <w:p w14:paraId="4576A070" w14:textId="77777777" w:rsidR="00004B46" w:rsidRPr="00004B46" w:rsidRDefault="00004B46" w:rsidP="001D104E">
      <w:pPr>
        <w:pStyle w:val="Heading2"/>
        <w:rPr>
          <w:rFonts w:hint="eastAsia"/>
        </w:rPr>
      </w:pPr>
      <w:bookmarkStart w:id="18" w:name="_Toc119682386"/>
      <w:r>
        <w:t>Victoria and Greater Melbourne</w:t>
      </w:r>
      <w:r w:rsidR="00F568BB">
        <w:t xml:space="preserve"> context</w:t>
      </w:r>
      <w:bookmarkEnd w:id="18"/>
    </w:p>
    <w:p w14:paraId="4B35633F" w14:textId="5D92BDC1" w:rsidR="008920ED" w:rsidRPr="00537E40" w:rsidRDefault="008920ED" w:rsidP="008920ED">
      <w:pPr>
        <w:rPr>
          <w:lang w:val="en-US"/>
        </w:rPr>
      </w:pPr>
      <w:r w:rsidRPr="00537E40">
        <w:t xml:space="preserve">The resident population and employment </w:t>
      </w:r>
      <w:r w:rsidR="00000D7B">
        <w:t>within</w:t>
      </w:r>
      <w:r w:rsidR="00000D7B" w:rsidRPr="00537E40">
        <w:t xml:space="preserve"> </w:t>
      </w:r>
      <w:r w:rsidRPr="00537E40">
        <w:t xml:space="preserve">the City of Melbourne are both strongly linked to the outcomes in Victoria and, more importantly, Greater Melbourne. </w:t>
      </w:r>
      <w:r w:rsidR="00537E40">
        <w:t xml:space="preserve"> </w:t>
      </w:r>
      <w:r w:rsidRPr="00537E40">
        <w:t>The</w:t>
      </w:r>
      <w:r w:rsidR="00204B94">
        <w:t xml:space="preserve"> City of Melbourne</w:t>
      </w:r>
      <w:r w:rsidRPr="00537E40">
        <w:t xml:space="preserve"> forecasts assume a macro economic recovery pathway that largely aligns with current plans and expectations. At the macro level this is assumed to align with the ‘central case’ of population projections adopted by the Centre for Population (published in</w:t>
      </w:r>
      <w:r w:rsidR="0067188C">
        <w:t xml:space="preserve"> the</w:t>
      </w:r>
      <w:r w:rsidRPr="00537E40">
        <w:t xml:space="preserve"> </w:t>
      </w:r>
      <w:hyperlink r:id="rId12" w:history="1">
        <w:r w:rsidR="0067188C">
          <w:rPr>
            <w:rStyle w:val="Hyperlink"/>
          </w:rPr>
          <w:t>2021 population statement</w:t>
        </w:r>
      </w:hyperlink>
      <w:r w:rsidR="0067188C">
        <w:rPr>
          <w:rStyle w:val="Hyperlink"/>
        </w:rPr>
        <w:t xml:space="preserve"> </w:t>
      </w:r>
      <w:r w:rsidR="0067188C">
        <w:rPr>
          <w:rStyle w:val="FootnoteReference"/>
          <w:color w:val="0000FF"/>
          <w:u w:val="single"/>
        </w:rPr>
        <w:footnoteReference w:id="1"/>
      </w:r>
      <w:r w:rsidRPr="00537E40">
        <w:t>). Key assumptions underlying this include:</w:t>
      </w:r>
    </w:p>
    <w:p w14:paraId="58F2DD67" w14:textId="77777777" w:rsidR="008920ED" w:rsidRPr="00537E40" w:rsidRDefault="008920ED" w:rsidP="008E0C7D">
      <w:pPr>
        <w:pStyle w:val="ListParagraph"/>
        <w:numPr>
          <w:ilvl w:val="0"/>
          <w:numId w:val="32"/>
        </w:numPr>
      </w:pPr>
      <w:r>
        <w:t>A national vaccination program is</w:t>
      </w:r>
      <w:r w:rsidR="00822FD5">
        <w:t xml:space="preserve"> fully</w:t>
      </w:r>
      <w:r>
        <w:t xml:space="preserve"> in place by late 2021.</w:t>
      </w:r>
    </w:p>
    <w:p w14:paraId="17428D1B" w14:textId="6F88E904" w:rsidR="008920ED" w:rsidRPr="00537E40" w:rsidRDefault="008920ED" w:rsidP="008E0C7D">
      <w:pPr>
        <w:pStyle w:val="ListParagraph"/>
        <w:numPr>
          <w:ilvl w:val="0"/>
          <w:numId w:val="32"/>
        </w:numPr>
      </w:pPr>
      <w:r>
        <w:t xml:space="preserve">Net overseas migration will remain negative for financial year </w:t>
      </w:r>
      <w:r w:rsidR="003E1D24">
        <w:t>2021</w:t>
      </w:r>
      <w:r>
        <w:t>-</w:t>
      </w:r>
      <w:r w:rsidR="003E1D24">
        <w:t xml:space="preserve">2022 </w:t>
      </w:r>
      <w:r>
        <w:t>(</w:t>
      </w:r>
      <w:r w:rsidR="003E1D24">
        <w:t>FY22</w:t>
      </w:r>
      <w:r>
        <w:t>), and then gradually recover to pre-pandemic levels by FY24.</w:t>
      </w:r>
    </w:p>
    <w:p w14:paraId="39C5051F" w14:textId="77777777" w:rsidR="008920ED" w:rsidRPr="00537E40" w:rsidRDefault="008920ED" w:rsidP="008E0C7D">
      <w:pPr>
        <w:pStyle w:val="ListParagraph"/>
        <w:numPr>
          <w:ilvl w:val="0"/>
          <w:numId w:val="32"/>
        </w:numPr>
      </w:pPr>
      <w:r>
        <w:t>Net internal migration to Greater Melbourne will be strongly negative until FY23, and weakly negative thereafter (note, net interstate migration to Victoria is forecast to be weakly positive).</w:t>
      </w:r>
    </w:p>
    <w:p w14:paraId="5DAB6C7B" w14:textId="77777777" w:rsidR="008E0C7D" w:rsidRDefault="008E0C7D">
      <w:pPr>
        <w:spacing w:after="0" w:line="240" w:lineRule="auto"/>
      </w:pPr>
      <w:r>
        <w:br w:type="page"/>
      </w:r>
    </w:p>
    <w:p w14:paraId="15DA891D" w14:textId="6AE9777E" w:rsidR="008920ED" w:rsidRPr="00537E40" w:rsidRDefault="008920ED" w:rsidP="008920ED">
      <w:r>
        <w:lastRenderedPageBreak/>
        <w:t xml:space="preserve">Despite being slower in the immediate future, the population growth rate of Victoria is expected to recover strongly following the reopening of international borders, with Greater Melbourne still anticipated to surpass the population of Sydney by </w:t>
      </w:r>
      <w:r w:rsidR="6F99D814">
        <w:t>mid-2030</w:t>
      </w:r>
      <w:r>
        <w:t>.</w:t>
      </w:r>
    </w:p>
    <w:p w14:paraId="2AAF8A63" w14:textId="77777777" w:rsidR="008920ED" w:rsidRPr="00537E40" w:rsidRDefault="008920ED" w:rsidP="008920ED">
      <w:r w:rsidRPr="00537E40">
        <w:t>The recovery pathway of employment follows a similar trajectory, albeit with variation by industry. Occupations and sectors which are dependent upon international travel and public gatherings will remain low until 2024. This will be followed by an accelerated recovery until 2026, at which point employment is expected to reach pre-pandemic rates (note that lower population and associated workforce means that employment will still be lower than if COVID-19 did not occur).</w:t>
      </w:r>
    </w:p>
    <w:p w14:paraId="67306683" w14:textId="77777777" w:rsidR="00204B94" w:rsidRPr="00537E40" w:rsidRDefault="008920ED" w:rsidP="008920ED">
      <w:r w:rsidRPr="00537E40">
        <w:t xml:space="preserve">The structure of the economy is forecast to alter over time, with a move towards </w:t>
      </w:r>
      <w:r w:rsidR="00345820">
        <w:t xml:space="preserve">the </w:t>
      </w:r>
      <w:r w:rsidRPr="00537E40">
        <w:t>knowledge economy. Past trends and forecast changes in the industrial composition of Greater Melbourne sets the broader context for the City of Melbourne</w:t>
      </w:r>
      <w:r w:rsidR="00E90CEB">
        <w:t>:</w:t>
      </w:r>
    </w:p>
    <w:p w14:paraId="7C3A8589" w14:textId="77777777" w:rsidR="008920ED" w:rsidRPr="00537E40" w:rsidRDefault="008920ED" w:rsidP="008E0C7D">
      <w:pPr>
        <w:pStyle w:val="ListParagraph"/>
        <w:numPr>
          <w:ilvl w:val="0"/>
          <w:numId w:val="32"/>
        </w:numPr>
      </w:pPr>
      <w:r>
        <w:t>Over the past decade, the provision of professional services in Greater Melbourne has provided the metropolis with a clear competitive advantage. This trend will continue, with professional services increasing total share of employment.</w:t>
      </w:r>
    </w:p>
    <w:p w14:paraId="4F3053CC" w14:textId="77777777" w:rsidR="008920ED" w:rsidRPr="00537E40" w:rsidRDefault="008920ED" w:rsidP="008E0C7D">
      <w:pPr>
        <w:pStyle w:val="ListParagraph"/>
        <w:numPr>
          <w:ilvl w:val="0"/>
          <w:numId w:val="32"/>
        </w:numPr>
      </w:pPr>
      <w:r>
        <w:t xml:space="preserve">Conversely, the past decades have seen an ongoing decline in the share of manufacturing </w:t>
      </w:r>
      <w:r w:rsidR="00004B46">
        <w:t>employment as</w:t>
      </w:r>
      <w:r>
        <w:t xml:space="preserve"> it becomes more capital intensive and advanced/automated. Employment in this indus</w:t>
      </w:r>
      <w:r w:rsidR="00004B46">
        <w:t>try will continue to contract.</w:t>
      </w:r>
    </w:p>
    <w:p w14:paraId="60D6729E" w14:textId="6D964917" w:rsidR="008920ED" w:rsidRPr="00537E40" w:rsidRDefault="008920ED" w:rsidP="008E0C7D">
      <w:pPr>
        <w:pStyle w:val="ListParagraph"/>
        <w:numPr>
          <w:ilvl w:val="0"/>
          <w:numId w:val="32"/>
        </w:numPr>
      </w:pPr>
      <w:r>
        <w:t>With an ageing population and increased research, expectations and awareness of health and wellbeing more broadly, the provision of health services will continue to grow and see a significant increase in the share of employment in the health care</w:t>
      </w:r>
      <w:r w:rsidR="00004B46">
        <w:t xml:space="preserve"> and social assistance sector</w:t>
      </w:r>
      <w:r>
        <w:t xml:space="preserve"> over the </w:t>
      </w:r>
      <w:r w:rsidR="00B6120B">
        <w:t xml:space="preserve">2021 </w:t>
      </w:r>
      <w:r>
        <w:t xml:space="preserve">to </w:t>
      </w:r>
      <w:r w:rsidR="00B6120B">
        <w:t xml:space="preserve">2041 </w:t>
      </w:r>
      <w:r>
        <w:t>period.</w:t>
      </w:r>
    </w:p>
    <w:p w14:paraId="64C48C2B" w14:textId="77777777" w:rsidR="008920ED" w:rsidRPr="00537E40" w:rsidRDefault="008920ED" w:rsidP="008E0C7D">
      <w:pPr>
        <w:pStyle w:val="ListParagraph"/>
        <w:numPr>
          <w:ilvl w:val="0"/>
          <w:numId w:val="32"/>
        </w:numPr>
      </w:pPr>
      <w:r>
        <w:t>Despite strong population growth, the share of retail employment is expected to decline (while the number of jobs still increases), as the industry continues to be disrupted and transitions to more online and automated (e.g., self-check-out) retail models. Conversely employment in the accommodation and food services sector will return to its pre-pandemic share.</w:t>
      </w:r>
    </w:p>
    <w:p w14:paraId="5414B27F" w14:textId="77777777" w:rsidR="00004B46" w:rsidRPr="001D104E" w:rsidRDefault="008920ED" w:rsidP="006112FA">
      <w:pPr>
        <w:pStyle w:val="ListParagraph"/>
        <w:numPr>
          <w:ilvl w:val="0"/>
          <w:numId w:val="32"/>
        </w:numPr>
        <w:rPr>
          <w:b/>
        </w:rPr>
      </w:pPr>
      <w:r>
        <w:t>The education and training sector will continue to grow in significance following the reopening of international borders (also driven by higher demand for knowledge intensive occupations).</w:t>
      </w:r>
    </w:p>
    <w:p w14:paraId="3061EC55" w14:textId="77777777" w:rsidR="008920ED" w:rsidRPr="00004B46" w:rsidRDefault="00004B46" w:rsidP="001D104E">
      <w:pPr>
        <w:pStyle w:val="Heading2"/>
        <w:rPr>
          <w:rFonts w:hint="eastAsia"/>
        </w:rPr>
      </w:pPr>
      <w:bookmarkStart w:id="19" w:name="_Toc119682387"/>
      <w:r w:rsidRPr="00004B46">
        <w:t>City of Melbourne</w:t>
      </w:r>
      <w:r w:rsidR="00F568BB">
        <w:t xml:space="preserve"> specific assumptions</w:t>
      </w:r>
      <w:bookmarkEnd w:id="19"/>
    </w:p>
    <w:p w14:paraId="2A84A79C" w14:textId="77CC7B85" w:rsidR="00953D3C" w:rsidRPr="00537E40" w:rsidRDefault="00953D3C" w:rsidP="00953D3C">
      <w:r>
        <w:t>While the risk of COVID</w:t>
      </w:r>
      <w:r w:rsidR="005432C1">
        <w:t>-</w:t>
      </w:r>
      <w:r>
        <w:t xml:space="preserve">19 outbreaks remains, the forecasts assume that </w:t>
      </w:r>
      <w:r w:rsidR="00004B46">
        <w:t xml:space="preserve">there </w:t>
      </w:r>
      <w:r>
        <w:t xml:space="preserve">will not </w:t>
      </w:r>
      <w:r w:rsidR="00004B46">
        <w:t>be</w:t>
      </w:r>
      <w:r>
        <w:t xml:space="preserve"> any more </w:t>
      </w:r>
      <w:r w:rsidR="00ED24CE">
        <w:t>significant restrictions/direct impacts related to COVID-19</w:t>
      </w:r>
      <w:r>
        <w:t xml:space="preserve">. It is assumed that the vaccine rollout, both in Australia and overseas, </w:t>
      </w:r>
      <w:r w:rsidR="00ED24CE">
        <w:t>continues to be effective in its management of the COVID-19 virus</w:t>
      </w:r>
      <w:r>
        <w:t>, and that international travel/migration returns to pre-COVID</w:t>
      </w:r>
      <w:r w:rsidR="003A5674">
        <w:t>-</w:t>
      </w:r>
      <w:r>
        <w:t>19 levels from 2022-2024.</w:t>
      </w:r>
    </w:p>
    <w:p w14:paraId="13496FBE" w14:textId="77777777" w:rsidR="00953D3C" w:rsidRPr="00537E40" w:rsidRDefault="00953D3C" w:rsidP="00953D3C">
      <w:r w:rsidRPr="00537E40">
        <w:t>One of the greatest uncertainties of the recovery pathway will be the lasting effect that COVID-19 has had upon the preferences of households and firms, and the implications for the spatial development across the state and within the City of Melbourne. The forecasts assume incremental shifts in preferences, but no fundamental changes in firm or resident behavioural and locational decisions.</w:t>
      </w:r>
      <w:r w:rsidR="003A5674" w:rsidRPr="00537E40">
        <w:t xml:space="preserve"> </w:t>
      </w:r>
    </w:p>
    <w:p w14:paraId="19B62738" w14:textId="77777777" w:rsidR="00953D3C" w:rsidRDefault="00953D3C" w:rsidP="00953D3C">
      <w:r w:rsidRPr="00537E40">
        <w:t xml:space="preserve">Key assumptions that underpin the </w:t>
      </w:r>
      <w:r w:rsidR="00004B46">
        <w:t xml:space="preserve">City of Melbourne </w:t>
      </w:r>
      <w:r w:rsidRPr="00537E40">
        <w:t>forecasts are as follows:</w:t>
      </w:r>
    </w:p>
    <w:p w14:paraId="7D8B6D93" w14:textId="77777777" w:rsidR="00953D3C" w:rsidRPr="00537E40" w:rsidRDefault="00953D3C" w:rsidP="001D104E">
      <w:pPr>
        <w:pStyle w:val="Heading2"/>
        <w:rPr>
          <w:rFonts w:hint="eastAsia"/>
        </w:rPr>
      </w:pPr>
      <w:bookmarkStart w:id="20" w:name="_Toc119682388"/>
      <w:r w:rsidRPr="00537E40">
        <w:t>Macro assumptions</w:t>
      </w:r>
      <w:bookmarkEnd w:id="20"/>
    </w:p>
    <w:p w14:paraId="1B1816C3" w14:textId="77777777" w:rsidR="00953D3C" w:rsidRPr="00537E40" w:rsidRDefault="00953D3C" w:rsidP="110985B9">
      <w:pPr>
        <w:pStyle w:val="ListParagraph"/>
        <w:numPr>
          <w:ilvl w:val="0"/>
          <w:numId w:val="50"/>
        </w:numPr>
      </w:pPr>
      <w:r>
        <w:t xml:space="preserve">International migration recovers by 2024 and </w:t>
      </w:r>
      <w:r w:rsidR="003A5674">
        <w:t xml:space="preserve">City of Melbourne </w:t>
      </w:r>
      <w:r>
        <w:t>captures pre-COVID shares of growth.</w:t>
      </w:r>
    </w:p>
    <w:p w14:paraId="3B3802E1" w14:textId="77777777" w:rsidR="00953D3C" w:rsidRPr="00537E40" w:rsidRDefault="00953D3C" w:rsidP="008E0C7D">
      <w:pPr>
        <w:pStyle w:val="ListParagraph"/>
        <w:numPr>
          <w:ilvl w:val="0"/>
          <w:numId w:val="32"/>
        </w:numPr>
      </w:pPr>
      <w:r>
        <w:t>No structural changes to the Greater Melbourne economy, except short term shocks of COVID.</w:t>
      </w:r>
    </w:p>
    <w:p w14:paraId="42AA34A7" w14:textId="77777777" w:rsidR="008E0C7D" w:rsidRPr="001D104E" w:rsidRDefault="003A5674" w:rsidP="006112FA">
      <w:pPr>
        <w:pStyle w:val="ListParagraph"/>
        <w:numPr>
          <w:ilvl w:val="0"/>
          <w:numId w:val="32"/>
        </w:numPr>
        <w:spacing w:after="0"/>
        <w:rPr>
          <w:b/>
        </w:rPr>
      </w:pPr>
      <w:r>
        <w:t xml:space="preserve">City of Melbourne </w:t>
      </w:r>
      <w:r w:rsidR="00953D3C">
        <w:t xml:space="preserve">economy broadly recovers to pre-COVID trends by 2026 in terms of the share of Greater Melbourne employment (with some variation, </w:t>
      </w:r>
      <w:proofErr w:type="gramStart"/>
      <w:r w:rsidR="00953D3C">
        <w:t>e.g.</w:t>
      </w:r>
      <w:proofErr w:type="gramEnd"/>
      <w:r w:rsidR="00953D3C">
        <w:t xml:space="preserve"> lower retail).</w:t>
      </w:r>
    </w:p>
    <w:p w14:paraId="45596525" w14:textId="77777777" w:rsidR="00953D3C" w:rsidRPr="00537E40" w:rsidRDefault="00953D3C" w:rsidP="001D104E">
      <w:pPr>
        <w:pStyle w:val="Heading2"/>
        <w:rPr>
          <w:rFonts w:hint="eastAsia"/>
        </w:rPr>
      </w:pPr>
      <w:bookmarkStart w:id="21" w:name="_Toc119682389"/>
      <w:r w:rsidRPr="00537E40">
        <w:lastRenderedPageBreak/>
        <w:t>Shifts in spatial drivers</w:t>
      </w:r>
      <w:bookmarkEnd w:id="21"/>
    </w:p>
    <w:p w14:paraId="4DD0A91A" w14:textId="77777777" w:rsidR="00953D3C" w:rsidRPr="00537E40" w:rsidRDefault="00953D3C" w:rsidP="008E0C7D">
      <w:pPr>
        <w:pStyle w:val="ListParagraph"/>
        <w:numPr>
          <w:ilvl w:val="0"/>
          <w:numId w:val="32"/>
        </w:numPr>
      </w:pPr>
      <w:r>
        <w:t>Preference towards inner city and apartment living remains stable but does not accelerate (subject to changing age structure and household formation).</w:t>
      </w:r>
    </w:p>
    <w:p w14:paraId="2B349786" w14:textId="77777777" w:rsidR="008E0C7D" w:rsidRPr="001D104E" w:rsidRDefault="00953D3C" w:rsidP="006112FA">
      <w:pPr>
        <w:pStyle w:val="ListParagraph"/>
        <w:numPr>
          <w:ilvl w:val="0"/>
          <w:numId w:val="32"/>
        </w:numPr>
        <w:spacing w:after="0"/>
        <w:rPr>
          <w:b/>
        </w:rPr>
      </w:pPr>
      <w:r>
        <w:t>Unchanged relative attractiveness of precincts for both residential and employment.</w:t>
      </w:r>
    </w:p>
    <w:p w14:paraId="0830E37B" w14:textId="77777777" w:rsidR="00953D3C" w:rsidRPr="00537E40" w:rsidRDefault="00953D3C" w:rsidP="001D104E">
      <w:pPr>
        <w:pStyle w:val="Heading2"/>
        <w:rPr>
          <w:rFonts w:hint="eastAsia"/>
        </w:rPr>
      </w:pPr>
      <w:bookmarkStart w:id="22" w:name="_Toc119682390"/>
      <w:r w:rsidRPr="00537E40">
        <w:t>Capacity assumptions</w:t>
      </w:r>
      <w:bookmarkEnd w:id="22"/>
    </w:p>
    <w:p w14:paraId="50E2CCB0" w14:textId="77777777" w:rsidR="00953D3C" w:rsidRPr="00537E40" w:rsidRDefault="00953D3C" w:rsidP="008E0C7D">
      <w:pPr>
        <w:pStyle w:val="ListParagraph"/>
        <w:numPr>
          <w:ilvl w:val="0"/>
          <w:numId w:val="32"/>
        </w:numPr>
      </w:pPr>
      <w:r>
        <w:t xml:space="preserve">Unchanged </w:t>
      </w:r>
      <w:r w:rsidR="00F568BB">
        <w:t>floor space</w:t>
      </w:r>
      <w:r>
        <w:t xml:space="preserve"> ratios.</w:t>
      </w:r>
    </w:p>
    <w:p w14:paraId="6C2F66DB" w14:textId="77777777" w:rsidR="00953D3C" w:rsidRPr="00537E40" w:rsidRDefault="00953D3C" w:rsidP="008E0C7D">
      <w:pPr>
        <w:pStyle w:val="ListParagraph"/>
        <w:numPr>
          <w:ilvl w:val="0"/>
          <w:numId w:val="32"/>
        </w:numPr>
      </w:pPr>
      <w:r>
        <w:t>Unchanged major infrastructure commitments.</w:t>
      </w:r>
    </w:p>
    <w:p w14:paraId="3A80A728" w14:textId="77777777" w:rsidR="00953D3C" w:rsidRPr="00537E40" w:rsidRDefault="00953D3C" w:rsidP="008E0C7D">
      <w:pPr>
        <w:pStyle w:val="ListParagraph"/>
        <w:numPr>
          <w:ilvl w:val="0"/>
          <w:numId w:val="32"/>
        </w:numPr>
      </w:pPr>
      <w:r>
        <w:t>Unchanged structure plan timing/capacity.</w:t>
      </w:r>
    </w:p>
    <w:p w14:paraId="77AD3D8D" w14:textId="77777777" w:rsidR="00701FF0" w:rsidRPr="00537E40" w:rsidRDefault="00701FF0" w:rsidP="00701FF0">
      <w:pPr>
        <w:pStyle w:val="Heading1"/>
        <w:rPr>
          <w:rFonts w:hint="eastAsia"/>
        </w:rPr>
      </w:pPr>
      <w:bookmarkStart w:id="23" w:name="_Toc119682391"/>
      <w:r w:rsidRPr="00537E40">
        <w:t>More information</w:t>
      </w:r>
      <w:bookmarkEnd w:id="23"/>
    </w:p>
    <w:p w14:paraId="53F34B93" w14:textId="61868D5F" w:rsidR="00701FF0" w:rsidRPr="00537E40" w:rsidRDefault="003A061E" w:rsidP="00701FF0">
      <w:r>
        <w:t>More detail</w:t>
      </w:r>
      <w:r w:rsidR="00E90CEB">
        <w:t>ed</w:t>
      </w:r>
      <w:r>
        <w:t xml:space="preserve"> f</w:t>
      </w:r>
      <w:r w:rsidR="00004B46" w:rsidRPr="00B92D60">
        <w:t xml:space="preserve">orecasts results by single year and </w:t>
      </w:r>
      <w:hyperlink r:id="rId13" w:history="1">
        <w:r w:rsidR="007121A4" w:rsidRPr="00B92D60">
          <w:rPr>
            <w:rStyle w:val="Hyperlink"/>
          </w:rPr>
          <w:t xml:space="preserve">CLUE </w:t>
        </w:r>
        <w:r w:rsidR="00004B46" w:rsidRPr="00B92D60">
          <w:rPr>
            <w:rStyle w:val="Hyperlink"/>
          </w:rPr>
          <w:t>small areas</w:t>
        </w:r>
      </w:hyperlink>
      <w:r w:rsidR="001D104E" w:rsidRPr="001D104E">
        <w:rPr>
          <w:rStyle w:val="FootnoteReference"/>
        </w:rPr>
        <w:footnoteReference w:id="2"/>
      </w:r>
      <w:r w:rsidR="00004B46" w:rsidRPr="00B92D60">
        <w:t xml:space="preserve"> within the municipality are available on City of Melbourne’s</w:t>
      </w:r>
      <w:r w:rsidR="00701FF0" w:rsidRPr="00B92D60">
        <w:t xml:space="preserve"> </w:t>
      </w:r>
      <w:hyperlink r:id="rId14" w:history="1">
        <w:r w:rsidR="004F40C3">
          <w:rPr>
            <w:rStyle w:val="Hyperlink"/>
          </w:rPr>
          <w:t>Open Data Platform</w:t>
        </w:r>
      </w:hyperlink>
      <w:r w:rsidR="001D104E" w:rsidRPr="001D104E">
        <w:rPr>
          <w:rStyle w:val="FootnoteReference"/>
        </w:rPr>
        <w:footnoteReference w:id="3"/>
      </w:r>
      <w:r w:rsidR="00701FF0" w:rsidRPr="00B92D60">
        <w:t>.</w:t>
      </w:r>
    </w:p>
    <w:p w14:paraId="79CCAD17" w14:textId="77777777" w:rsidR="00701FF0" w:rsidRPr="00537E40" w:rsidRDefault="00701FF0" w:rsidP="00701FF0">
      <w:pPr>
        <w:pStyle w:val="Heading1"/>
        <w:rPr>
          <w:rFonts w:hint="eastAsia"/>
        </w:rPr>
      </w:pPr>
      <w:bookmarkStart w:id="24" w:name="_Toc119682392"/>
      <w:r w:rsidRPr="00537E40">
        <w:t>Acknowledgements</w:t>
      </w:r>
      <w:bookmarkEnd w:id="24"/>
    </w:p>
    <w:p w14:paraId="702F5A5D" w14:textId="77777777" w:rsidR="008E0C7D" w:rsidRDefault="007121A4" w:rsidP="001D104E">
      <w:r>
        <w:t>The content in this</w:t>
      </w:r>
      <w:r w:rsidR="00004B46">
        <w:t xml:space="preserve"> </w:t>
      </w:r>
      <w:r>
        <w:t>document</w:t>
      </w:r>
      <w:r w:rsidR="00004B46">
        <w:t xml:space="preserve"> </w:t>
      </w:r>
      <w:r>
        <w:t>was taken from reports provided by SGS Economics and Planning to the City of Melbourne</w:t>
      </w:r>
      <w:r w:rsidR="00145294">
        <w:t>.</w:t>
      </w:r>
    </w:p>
    <w:p w14:paraId="13436AE0" w14:textId="77777777" w:rsidR="00A47634" w:rsidRPr="00E90CEB" w:rsidRDefault="00A47634" w:rsidP="001D104E">
      <w:pPr>
        <w:pStyle w:val="Heading2"/>
        <w:rPr>
          <w:rFonts w:hint="eastAsia"/>
        </w:rPr>
      </w:pPr>
      <w:bookmarkStart w:id="25" w:name="_Toc119682393"/>
      <w:r w:rsidRPr="00E90CEB">
        <w:t>Disclaimer</w:t>
      </w:r>
      <w:bookmarkEnd w:id="25"/>
    </w:p>
    <w:p w14:paraId="27489426" w14:textId="77777777" w:rsidR="00A47634" w:rsidRDefault="00A47634" w:rsidP="00A47634">
      <w:r w:rsidRPr="00A47634">
        <w:t>This</w:t>
      </w:r>
      <w:r w:rsidRPr="00E90CEB">
        <w:t xml:space="preserve"> document</w:t>
      </w:r>
      <w:r w:rsidRPr="00A47634">
        <w:t xml:space="preserve"> is</w:t>
      </w:r>
      <w:r w:rsidRPr="00E90CEB">
        <w:t xml:space="preserve"> for information and communication purposes only. While care is taken to ensure the information is accurate and reliable, the City of Melbourne cannot guarantee this. Content may not be free from errors, </w:t>
      </w:r>
      <w:proofErr w:type="gramStart"/>
      <w:r w:rsidRPr="00E90CEB">
        <w:t>omissions</w:t>
      </w:r>
      <w:proofErr w:type="gramEnd"/>
      <w:r w:rsidRPr="00E90CEB">
        <w:t xml:space="preserve"> or inconsistencies.  It is recommended that users exercise care with its use.  The City of Melbourne takes no responsibility for inaccurate information and does not accept any liability whatsoever for any direct or indirect loss, damage or injury suffered </w:t>
      </w:r>
      <w:proofErr w:type="gramStart"/>
      <w:r w:rsidRPr="00E90CEB">
        <w:t>as a result of</w:t>
      </w:r>
      <w:proofErr w:type="gramEnd"/>
      <w:r w:rsidRPr="00E90CEB">
        <w:t xml:space="preserve"> reliance on this information.</w:t>
      </w:r>
    </w:p>
    <w:p w14:paraId="7D8D15A5" w14:textId="77777777" w:rsidR="00953D3C" w:rsidRPr="00E34073" w:rsidRDefault="00F568BB" w:rsidP="00E34073">
      <w:pPr>
        <w:pStyle w:val="Heading1"/>
        <w:rPr>
          <w:rFonts w:hint="eastAsia"/>
        </w:rPr>
      </w:pPr>
      <w:r>
        <w:rPr>
          <w:rFonts w:hint="eastAsia"/>
        </w:rPr>
        <w:br w:type="page"/>
      </w:r>
      <w:bookmarkStart w:id="26" w:name="_Toc119682394"/>
      <w:r w:rsidR="00B07612" w:rsidRPr="00537E40">
        <w:lastRenderedPageBreak/>
        <w:t>Appendix</w:t>
      </w:r>
      <w:r w:rsidR="00B61D4E">
        <w:t xml:space="preserve"> 1</w:t>
      </w:r>
      <w:r w:rsidR="00BF4912">
        <w:t>: Accessible data t</w:t>
      </w:r>
      <w:r w:rsidR="00B07612" w:rsidRPr="00537E40">
        <w:t>ables</w:t>
      </w:r>
      <w:bookmarkEnd w:id="26"/>
    </w:p>
    <w:p w14:paraId="16BF0816" w14:textId="568D077A" w:rsidR="00145294" w:rsidRPr="00537E40" w:rsidRDefault="00145294" w:rsidP="110985B9">
      <w:pPr>
        <w:pStyle w:val="Heading2"/>
        <w:rPr>
          <w:rFonts w:hint="eastAsia"/>
        </w:rPr>
      </w:pPr>
      <w:bookmarkStart w:id="27" w:name="_Toc119682395"/>
      <w:r>
        <w:t>Population</w:t>
      </w:r>
      <w:r w:rsidR="007121A4">
        <w:t xml:space="preserve"> by small area</w:t>
      </w:r>
      <w:r>
        <w:t xml:space="preserve"> 202</w:t>
      </w:r>
      <w:r w:rsidR="00787D57">
        <w:t>1</w:t>
      </w:r>
      <w:r>
        <w:t>, 203</w:t>
      </w:r>
      <w:r w:rsidR="00787D57">
        <w:t>1</w:t>
      </w:r>
      <w:r>
        <w:t xml:space="preserve"> and 204</w:t>
      </w:r>
      <w:r w:rsidR="00787D57">
        <w:t>1</w:t>
      </w:r>
      <w:bookmarkEnd w:id="27"/>
    </w:p>
    <w:tbl>
      <w:tblPr>
        <w:tblW w:w="9694" w:type="dxa"/>
        <w:tblLayout w:type="fixed"/>
        <w:tblLook w:val="04A0" w:firstRow="1" w:lastRow="0" w:firstColumn="1" w:lastColumn="0" w:noHBand="0" w:noVBand="1"/>
      </w:tblPr>
      <w:tblGrid>
        <w:gridCol w:w="3061"/>
        <w:gridCol w:w="1187"/>
        <w:gridCol w:w="1276"/>
        <w:gridCol w:w="1275"/>
        <w:gridCol w:w="1418"/>
        <w:gridCol w:w="1477"/>
      </w:tblGrid>
      <w:tr w:rsidR="00E57B1C" w:rsidRPr="00537E40" w14:paraId="223AA6A5" w14:textId="77777777" w:rsidTr="110985B9">
        <w:trPr>
          <w:trHeight w:val="285"/>
        </w:trPr>
        <w:tc>
          <w:tcPr>
            <w:tcW w:w="3061" w:type="dxa"/>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2B04EADB" w14:textId="77777777" w:rsidR="00E57B1C" w:rsidRPr="00B07612" w:rsidRDefault="00E57B1C" w:rsidP="007121A4">
            <w:pPr>
              <w:spacing w:after="0" w:line="240" w:lineRule="auto"/>
              <w:rPr>
                <w:rFonts w:eastAsia="Times New Roman" w:cs="Arial"/>
                <w:b/>
                <w:bCs/>
                <w:color w:val="000000"/>
                <w:szCs w:val="20"/>
                <w:lang w:eastAsia="en-AU"/>
              </w:rPr>
            </w:pPr>
            <w:r>
              <w:rPr>
                <w:rFonts w:eastAsia="Times New Roman" w:cs="Arial"/>
                <w:b/>
                <w:bCs/>
                <w:color w:val="000000"/>
                <w:szCs w:val="20"/>
                <w:lang w:eastAsia="en-AU"/>
              </w:rPr>
              <w:t>CLUE small area</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8C51A" w14:textId="637D0F00"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202</w:t>
            </w:r>
            <w:r w:rsidR="00787D57" w:rsidRPr="110985B9">
              <w:rPr>
                <w:rFonts w:eastAsia="Times New Roman" w:cs="Arial"/>
                <w:b/>
                <w:bCs/>
                <w:color w:val="000000" w:themeColor="text1"/>
                <w:lang w:eastAsia="en-A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CCF60" w14:textId="4FB4A15B"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203</w:t>
            </w:r>
            <w:r w:rsidR="00787D57" w:rsidRPr="110985B9">
              <w:rPr>
                <w:rFonts w:eastAsia="Times New Roman" w:cs="Arial"/>
                <w:b/>
                <w:bCs/>
                <w:color w:val="000000" w:themeColor="text1"/>
                <w:lang w:eastAsia="en-AU"/>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378AB" w14:textId="3F2D6B02"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204</w:t>
            </w:r>
            <w:r w:rsidR="00787D57" w:rsidRPr="110985B9">
              <w:rPr>
                <w:rFonts w:eastAsia="Times New Roman" w:cs="Arial"/>
                <w:b/>
                <w:bCs/>
                <w:color w:val="000000" w:themeColor="text1"/>
                <w:lang w:eastAsia="en-AU"/>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1BAAB1D" w14:textId="0B070D1D"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Change 202</w:t>
            </w:r>
            <w:r w:rsidR="00787D57" w:rsidRPr="110985B9">
              <w:rPr>
                <w:rFonts w:eastAsia="Times New Roman" w:cs="Arial"/>
                <w:b/>
                <w:bCs/>
                <w:color w:val="000000" w:themeColor="text1"/>
                <w:lang w:eastAsia="en-AU"/>
              </w:rPr>
              <w:t>1</w:t>
            </w:r>
            <w:r w:rsidRPr="110985B9">
              <w:rPr>
                <w:rFonts w:eastAsia="Times New Roman" w:cs="Arial"/>
                <w:b/>
                <w:bCs/>
                <w:color w:val="000000" w:themeColor="text1"/>
                <w:lang w:eastAsia="en-AU"/>
              </w:rPr>
              <w:t>-204</w:t>
            </w:r>
            <w:r w:rsidR="00787D57" w:rsidRPr="110985B9">
              <w:rPr>
                <w:rFonts w:eastAsia="Times New Roman" w:cs="Arial"/>
                <w:b/>
                <w:bCs/>
                <w:color w:val="000000" w:themeColor="text1"/>
                <w:lang w:eastAsia="en-AU"/>
              </w:rPr>
              <w:t>1</w:t>
            </w:r>
          </w:p>
        </w:tc>
        <w:tc>
          <w:tcPr>
            <w:tcW w:w="1477" w:type="dxa"/>
            <w:tcBorders>
              <w:top w:val="single" w:sz="4" w:space="0" w:color="auto"/>
              <w:left w:val="nil"/>
              <w:bottom w:val="single" w:sz="4" w:space="0" w:color="auto"/>
              <w:right w:val="single" w:sz="4" w:space="0" w:color="auto"/>
            </w:tcBorders>
            <w:shd w:val="clear" w:color="auto" w:fill="auto"/>
            <w:vAlign w:val="center"/>
          </w:tcPr>
          <w:p w14:paraId="46718D81" w14:textId="77777777" w:rsidR="00E57B1C" w:rsidRPr="00B07612" w:rsidRDefault="00E57B1C" w:rsidP="00E57B1C">
            <w:pPr>
              <w:spacing w:after="0" w:line="240" w:lineRule="auto"/>
              <w:jc w:val="center"/>
              <w:rPr>
                <w:rFonts w:eastAsia="Times New Roman" w:cs="Arial"/>
                <w:b/>
                <w:bCs/>
                <w:color w:val="000000"/>
                <w:szCs w:val="20"/>
                <w:lang w:eastAsia="en-AU"/>
              </w:rPr>
            </w:pPr>
            <w:r w:rsidRPr="00B07612">
              <w:rPr>
                <w:rFonts w:eastAsia="Times New Roman" w:cs="Arial"/>
                <w:b/>
                <w:bCs/>
                <w:color w:val="000000"/>
                <w:szCs w:val="20"/>
                <w:lang w:eastAsia="en-AU"/>
              </w:rPr>
              <w:t>Avg. Annual Growth Rate</w:t>
            </w:r>
            <w:r>
              <w:rPr>
                <w:rFonts w:eastAsia="Times New Roman" w:cs="Arial"/>
                <w:b/>
                <w:bCs/>
                <w:color w:val="000000"/>
                <w:szCs w:val="20"/>
                <w:lang w:eastAsia="en-AU"/>
              </w:rPr>
              <w:t xml:space="preserve"> 2020-2040</w:t>
            </w:r>
          </w:p>
        </w:tc>
      </w:tr>
      <w:tr w:rsidR="00787D57" w:rsidRPr="00537E40" w14:paraId="20D69735"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bottom"/>
          </w:tcPr>
          <w:p w14:paraId="7BCAC93A" w14:textId="102D3567" w:rsidR="00787D57" w:rsidRDefault="00787D57" w:rsidP="110985B9">
            <w:pPr>
              <w:spacing w:after="0" w:line="240" w:lineRule="auto"/>
              <w:rPr>
                <w:rFonts w:cs="Arial"/>
                <w:b/>
                <w:bCs/>
                <w:color w:val="000000"/>
              </w:rPr>
            </w:pPr>
            <w:r w:rsidRPr="110985B9">
              <w:rPr>
                <w:rFonts w:cs="Arial"/>
                <w:b/>
                <w:bCs/>
                <w:color w:val="000000" w:themeColor="text1"/>
              </w:rPr>
              <w:t>Carlton</w:t>
            </w:r>
          </w:p>
        </w:tc>
        <w:tc>
          <w:tcPr>
            <w:tcW w:w="1187" w:type="dxa"/>
            <w:tcBorders>
              <w:top w:val="nil"/>
              <w:left w:val="nil"/>
              <w:bottom w:val="single" w:sz="4" w:space="0" w:color="auto"/>
              <w:right w:val="single" w:sz="4" w:space="0" w:color="auto"/>
            </w:tcBorders>
            <w:shd w:val="clear" w:color="auto" w:fill="auto"/>
            <w:noWrap/>
            <w:vAlign w:val="center"/>
          </w:tcPr>
          <w:p w14:paraId="4D9E6AC3" w14:textId="2145365B" w:rsidR="00787D57" w:rsidRDefault="00787D57" w:rsidP="110985B9">
            <w:pPr>
              <w:spacing w:after="0" w:line="240" w:lineRule="auto"/>
              <w:jc w:val="right"/>
              <w:rPr>
                <w:rFonts w:cs="Arial"/>
                <w:color w:val="000000"/>
              </w:rPr>
            </w:pPr>
            <w:r w:rsidRPr="110985B9">
              <w:rPr>
                <w:rFonts w:cs="Arial"/>
                <w:color w:val="000000" w:themeColor="text1"/>
              </w:rPr>
              <w:t xml:space="preserve">17,185 </w:t>
            </w:r>
          </w:p>
        </w:tc>
        <w:tc>
          <w:tcPr>
            <w:tcW w:w="1276" w:type="dxa"/>
            <w:tcBorders>
              <w:top w:val="nil"/>
              <w:left w:val="nil"/>
              <w:bottom w:val="single" w:sz="4" w:space="0" w:color="auto"/>
              <w:right w:val="single" w:sz="4" w:space="0" w:color="auto"/>
            </w:tcBorders>
            <w:shd w:val="clear" w:color="auto" w:fill="auto"/>
            <w:noWrap/>
            <w:vAlign w:val="center"/>
          </w:tcPr>
          <w:p w14:paraId="7BD88841" w14:textId="25697FC1" w:rsidR="00787D57" w:rsidRDefault="00787D57" w:rsidP="110985B9">
            <w:pPr>
              <w:spacing w:after="0" w:line="240" w:lineRule="auto"/>
              <w:jc w:val="right"/>
              <w:rPr>
                <w:rFonts w:cs="Arial"/>
                <w:color w:val="000000"/>
              </w:rPr>
            </w:pPr>
            <w:r w:rsidRPr="110985B9">
              <w:rPr>
                <w:rFonts w:cs="Arial"/>
                <w:color w:val="000000" w:themeColor="text1"/>
              </w:rPr>
              <w:t xml:space="preserve">26,375 </w:t>
            </w:r>
          </w:p>
        </w:tc>
        <w:tc>
          <w:tcPr>
            <w:tcW w:w="1275" w:type="dxa"/>
            <w:tcBorders>
              <w:top w:val="nil"/>
              <w:left w:val="nil"/>
              <w:bottom w:val="single" w:sz="4" w:space="0" w:color="auto"/>
              <w:right w:val="single" w:sz="4" w:space="0" w:color="auto"/>
            </w:tcBorders>
            <w:shd w:val="clear" w:color="auto" w:fill="auto"/>
            <w:noWrap/>
            <w:vAlign w:val="center"/>
          </w:tcPr>
          <w:p w14:paraId="231D0146" w14:textId="11435172" w:rsidR="00787D57" w:rsidRDefault="00787D57" w:rsidP="110985B9">
            <w:pPr>
              <w:spacing w:after="0" w:line="240" w:lineRule="auto"/>
              <w:jc w:val="right"/>
              <w:rPr>
                <w:rFonts w:cs="Arial"/>
                <w:color w:val="000000"/>
              </w:rPr>
            </w:pPr>
            <w:r w:rsidRPr="110985B9">
              <w:rPr>
                <w:rFonts w:cs="Arial"/>
                <w:color w:val="000000" w:themeColor="text1"/>
              </w:rPr>
              <w:t xml:space="preserve">35,877 </w:t>
            </w:r>
          </w:p>
        </w:tc>
        <w:tc>
          <w:tcPr>
            <w:tcW w:w="1418" w:type="dxa"/>
            <w:tcBorders>
              <w:top w:val="nil"/>
              <w:left w:val="nil"/>
              <w:bottom w:val="single" w:sz="4" w:space="0" w:color="auto"/>
              <w:right w:val="single" w:sz="4" w:space="0" w:color="auto"/>
            </w:tcBorders>
            <w:shd w:val="clear" w:color="auto" w:fill="auto"/>
            <w:noWrap/>
            <w:vAlign w:val="center"/>
          </w:tcPr>
          <w:p w14:paraId="2BB7F697" w14:textId="4474C22A" w:rsidR="00787D57" w:rsidRDefault="00787D57" w:rsidP="110985B9">
            <w:pPr>
              <w:spacing w:after="0" w:line="240" w:lineRule="auto"/>
              <w:jc w:val="right"/>
              <w:rPr>
                <w:rFonts w:cs="Arial"/>
                <w:color w:val="000000"/>
              </w:rPr>
            </w:pPr>
            <w:r w:rsidRPr="110985B9">
              <w:rPr>
                <w:rFonts w:cs="Arial"/>
                <w:color w:val="000000" w:themeColor="text1"/>
              </w:rPr>
              <w:t xml:space="preserve">18,692 </w:t>
            </w:r>
          </w:p>
        </w:tc>
        <w:tc>
          <w:tcPr>
            <w:tcW w:w="1477" w:type="dxa"/>
            <w:tcBorders>
              <w:top w:val="nil"/>
              <w:left w:val="nil"/>
              <w:bottom w:val="single" w:sz="4" w:space="0" w:color="auto"/>
              <w:right w:val="single" w:sz="4" w:space="0" w:color="auto"/>
            </w:tcBorders>
            <w:shd w:val="clear" w:color="auto" w:fill="auto"/>
            <w:noWrap/>
            <w:vAlign w:val="center"/>
          </w:tcPr>
          <w:p w14:paraId="2840F36B" w14:textId="126477A9" w:rsidR="00787D57" w:rsidRDefault="00787D57" w:rsidP="110985B9">
            <w:pPr>
              <w:spacing w:after="0" w:line="240" w:lineRule="auto"/>
              <w:jc w:val="right"/>
              <w:rPr>
                <w:rFonts w:cs="Arial"/>
                <w:color w:val="000000"/>
              </w:rPr>
            </w:pPr>
            <w:r w:rsidRPr="110985B9">
              <w:rPr>
                <w:rFonts w:cs="Arial"/>
                <w:color w:val="000000" w:themeColor="text1"/>
              </w:rPr>
              <w:t>3.7%</w:t>
            </w:r>
          </w:p>
        </w:tc>
      </w:tr>
      <w:tr w:rsidR="00787D57" w:rsidRPr="00537E40" w14:paraId="6FEC9000"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bottom"/>
          </w:tcPr>
          <w:p w14:paraId="05D970E1" w14:textId="6691178E" w:rsidR="00787D57" w:rsidRDefault="00787D57" w:rsidP="110985B9">
            <w:pPr>
              <w:spacing w:after="0" w:line="240" w:lineRule="auto"/>
              <w:rPr>
                <w:rFonts w:cs="Arial"/>
                <w:b/>
                <w:bCs/>
                <w:color w:val="000000"/>
              </w:rPr>
            </w:pPr>
            <w:r w:rsidRPr="110985B9">
              <w:rPr>
                <w:rFonts w:cs="Arial"/>
                <w:b/>
                <w:bCs/>
                <w:color w:val="000000" w:themeColor="text1"/>
              </w:rPr>
              <w:t>Docklands</w:t>
            </w:r>
          </w:p>
        </w:tc>
        <w:tc>
          <w:tcPr>
            <w:tcW w:w="1187" w:type="dxa"/>
            <w:tcBorders>
              <w:top w:val="nil"/>
              <w:left w:val="nil"/>
              <w:bottom w:val="single" w:sz="4" w:space="0" w:color="auto"/>
              <w:right w:val="single" w:sz="4" w:space="0" w:color="auto"/>
            </w:tcBorders>
            <w:shd w:val="clear" w:color="auto" w:fill="auto"/>
            <w:noWrap/>
            <w:vAlign w:val="center"/>
          </w:tcPr>
          <w:p w14:paraId="5793D876" w14:textId="5EFE9C1C" w:rsidR="00787D57" w:rsidRDefault="00787D57" w:rsidP="110985B9">
            <w:pPr>
              <w:spacing w:after="0" w:line="240" w:lineRule="auto"/>
              <w:jc w:val="right"/>
              <w:rPr>
                <w:rFonts w:cs="Arial"/>
                <w:color w:val="000000"/>
              </w:rPr>
            </w:pPr>
            <w:r w:rsidRPr="110985B9">
              <w:rPr>
                <w:rFonts w:cs="Arial"/>
                <w:color w:val="000000" w:themeColor="text1"/>
              </w:rPr>
              <w:t xml:space="preserve">15,926 </w:t>
            </w:r>
          </w:p>
        </w:tc>
        <w:tc>
          <w:tcPr>
            <w:tcW w:w="1276" w:type="dxa"/>
            <w:tcBorders>
              <w:top w:val="nil"/>
              <w:left w:val="nil"/>
              <w:bottom w:val="single" w:sz="4" w:space="0" w:color="auto"/>
              <w:right w:val="single" w:sz="4" w:space="0" w:color="auto"/>
            </w:tcBorders>
            <w:shd w:val="clear" w:color="auto" w:fill="auto"/>
            <w:noWrap/>
            <w:vAlign w:val="center"/>
          </w:tcPr>
          <w:p w14:paraId="05896BEE" w14:textId="03E6B090" w:rsidR="00787D57" w:rsidRDefault="00787D57" w:rsidP="110985B9">
            <w:pPr>
              <w:spacing w:after="0" w:line="240" w:lineRule="auto"/>
              <w:jc w:val="right"/>
              <w:rPr>
                <w:rFonts w:cs="Arial"/>
                <w:color w:val="000000"/>
              </w:rPr>
            </w:pPr>
            <w:r w:rsidRPr="110985B9">
              <w:rPr>
                <w:rFonts w:cs="Arial"/>
                <w:color w:val="000000" w:themeColor="text1"/>
              </w:rPr>
              <w:t xml:space="preserve">25,292 </w:t>
            </w:r>
          </w:p>
        </w:tc>
        <w:tc>
          <w:tcPr>
            <w:tcW w:w="1275" w:type="dxa"/>
            <w:tcBorders>
              <w:top w:val="nil"/>
              <w:left w:val="nil"/>
              <w:bottom w:val="single" w:sz="4" w:space="0" w:color="auto"/>
              <w:right w:val="single" w:sz="4" w:space="0" w:color="auto"/>
            </w:tcBorders>
            <w:shd w:val="clear" w:color="auto" w:fill="auto"/>
            <w:noWrap/>
            <w:vAlign w:val="center"/>
          </w:tcPr>
          <w:p w14:paraId="57ED5B5E" w14:textId="396C23AE" w:rsidR="00787D57" w:rsidRDefault="00787D57" w:rsidP="110985B9">
            <w:pPr>
              <w:spacing w:after="0" w:line="240" w:lineRule="auto"/>
              <w:jc w:val="right"/>
              <w:rPr>
                <w:rFonts w:cs="Arial"/>
                <w:color w:val="000000"/>
              </w:rPr>
            </w:pPr>
            <w:r w:rsidRPr="110985B9">
              <w:rPr>
                <w:rFonts w:cs="Arial"/>
                <w:color w:val="000000" w:themeColor="text1"/>
              </w:rPr>
              <w:t xml:space="preserve">32,431 </w:t>
            </w:r>
          </w:p>
        </w:tc>
        <w:tc>
          <w:tcPr>
            <w:tcW w:w="1418" w:type="dxa"/>
            <w:tcBorders>
              <w:top w:val="nil"/>
              <w:left w:val="nil"/>
              <w:bottom w:val="single" w:sz="4" w:space="0" w:color="auto"/>
              <w:right w:val="single" w:sz="4" w:space="0" w:color="auto"/>
            </w:tcBorders>
            <w:shd w:val="clear" w:color="auto" w:fill="auto"/>
            <w:noWrap/>
            <w:vAlign w:val="center"/>
          </w:tcPr>
          <w:p w14:paraId="3FB06568" w14:textId="43785BB4" w:rsidR="00787D57" w:rsidRDefault="00787D57" w:rsidP="110985B9">
            <w:pPr>
              <w:spacing w:after="0" w:line="240" w:lineRule="auto"/>
              <w:jc w:val="right"/>
              <w:rPr>
                <w:rFonts w:cs="Arial"/>
                <w:color w:val="000000"/>
              </w:rPr>
            </w:pPr>
            <w:r w:rsidRPr="110985B9">
              <w:rPr>
                <w:rFonts w:cs="Arial"/>
                <w:color w:val="000000" w:themeColor="text1"/>
              </w:rPr>
              <w:t xml:space="preserve">16,505 </w:t>
            </w:r>
          </w:p>
        </w:tc>
        <w:tc>
          <w:tcPr>
            <w:tcW w:w="1477" w:type="dxa"/>
            <w:tcBorders>
              <w:top w:val="nil"/>
              <w:left w:val="nil"/>
              <w:bottom w:val="single" w:sz="4" w:space="0" w:color="auto"/>
              <w:right w:val="single" w:sz="4" w:space="0" w:color="auto"/>
            </w:tcBorders>
            <w:shd w:val="clear" w:color="auto" w:fill="auto"/>
            <w:noWrap/>
            <w:vAlign w:val="center"/>
          </w:tcPr>
          <w:p w14:paraId="02EE6A9E" w14:textId="31D3A9E9" w:rsidR="00787D57" w:rsidRDefault="00787D57" w:rsidP="110985B9">
            <w:pPr>
              <w:spacing w:after="0" w:line="240" w:lineRule="auto"/>
              <w:jc w:val="right"/>
              <w:rPr>
                <w:rFonts w:cs="Arial"/>
                <w:color w:val="000000"/>
              </w:rPr>
            </w:pPr>
            <w:r w:rsidRPr="110985B9">
              <w:rPr>
                <w:rFonts w:cs="Arial"/>
                <w:color w:val="000000" w:themeColor="text1"/>
              </w:rPr>
              <w:t>3.6%</w:t>
            </w:r>
          </w:p>
        </w:tc>
      </w:tr>
      <w:tr w:rsidR="00787D57" w:rsidRPr="00537E40" w14:paraId="563B237C"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bottom"/>
          </w:tcPr>
          <w:p w14:paraId="3E48204B" w14:textId="063C8861" w:rsidR="00787D57" w:rsidRDefault="00787D57" w:rsidP="110985B9">
            <w:pPr>
              <w:spacing w:after="0" w:line="240" w:lineRule="auto"/>
              <w:rPr>
                <w:rFonts w:cs="Arial"/>
                <w:b/>
                <w:bCs/>
                <w:color w:val="000000"/>
              </w:rPr>
            </w:pPr>
            <w:r w:rsidRPr="110985B9">
              <w:rPr>
                <w:rFonts w:cs="Arial"/>
                <w:b/>
                <w:bCs/>
                <w:color w:val="000000" w:themeColor="text1"/>
              </w:rPr>
              <w:t>East Melbourne</w:t>
            </w:r>
          </w:p>
        </w:tc>
        <w:tc>
          <w:tcPr>
            <w:tcW w:w="1187" w:type="dxa"/>
            <w:tcBorders>
              <w:top w:val="nil"/>
              <w:left w:val="nil"/>
              <w:bottom w:val="single" w:sz="4" w:space="0" w:color="auto"/>
              <w:right w:val="single" w:sz="4" w:space="0" w:color="auto"/>
            </w:tcBorders>
            <w:shd w:val="clear" w:color="auto" w:fill="auto"/>
            <w:noWrap/>
            <w:vAlign w:val="center"/>
          </w:tcPr>
          <w:p w14:paraId="698AF461" w14:textId="3A733704" w:rsidR="00787D57" w:rsidRDefault="00787D57" w:rsidP="110985B9">
            <w:pPr>
              <w:spacing w:after="0" w:line="240" w:lineRule="auto"/>
              <w:jc w:val="right"/>
              <w:rPr>
                <w:rFonts w:cs="Arial"/>
                <w:color w:val="000000"/>
              </w:rPr>
            </w:pPr>
            <w:r w:rsidRPr="110985B9">
              <w:rPr>
                <w:rFonts w:cs="Arial"/>
                <w:color w:val="000000" w:themeColor="text1"/>
              </w:rPr>
              <w:t xml:space="preserve">4,968 </w:t>
            </w:r>
          </w:p>
        </w:tc>
        <w:tc>
          <w:tcPr>
            <w:tcW w:w="1276" w:type="dxa"/>
            <w:tcBorders>
              <w:top w:val="nil"/>
              <w:left w:val="nil"/>
              <w:bottom w:val="single" w:sz="4" w:space="0" w:color="auto"/>
              <w:right w:val="single" w:sz="4" w:space="0" w:color="auto"/>
            </w:tcBorders>
            <w:shd w:val="clear" w:color="auto" w:fill="auto"/>
            <w:noWrap/>
            <w:vAlign w:val="center"/>
          </w:tcPr>
          <w:p w14:paraId="3562E88D" w14:textId="0D31D74E" w:rsidR="00787D57" w:rsidRDefault="00787D57" w:rsidP="110985B9">
            <w:pPr>
              <w:spacing w:after="0" w:line="240" w:lineRule="auto"/>
              <w:jc w:val="right"/>
              <w:rPr>
                <w:rFonts w:cs="Arial"/>
                <w:color w:val="000000"/>
              </w:rPr>
            </w:pPr>
            <w:r w:rsidRPr="110985B9">
              <w:rPr>
                <w:rFonts w:cs="Arial"/>
                <w:color w:val="000000" w:themeColor="text1"/>
              </w:rPr>
              <w:t xml:space="preserve">7,444 </w:t>
            </w:r>
          </w:p>
        </w:tc>
        <w:tc>
          <w:tcPr>
            <w:tcW w:w="1275" w:type="dxa"/>
            <w:tcBorders>
              <w:top w:val="nil"/>
              <w:left w:val="nil"/>
              <w:bottom w:val="single" w:sz="4" w:space="0" w:color="auto"/>
              <w:right w:val="single" w:sz="4" w:space="0" w:color="auto"/>
            </w:tcBorders>
            <w:shd w:val="clear" w:color="auto" w:fill="auto"/>
            <w:noWrap/>
            <w:vAlign w:val="center"/>
          </w:tcPr>
          <w:p w14:paraId="0781488E" w14:textId="54CD7181" w:rsidR="00787D57" w:rsidRDefault="00787D57" w:rsidP="110985B9">
            <w:pPr>
              <w:spacing w:after="0" w:line="240" w:lineRule="auto"/>
              <w:jc w:val="right"/>
              <w:rPr>
                <w:rFonts w:cs="Arial"/>
                <w:color w:val="000000"/>
              </w:rPr>
            </w:pPr>
            <w:r w:rsidRPr="110985B9">
              <w:rPr>
                <w:rFonts w:cs="Arial"/>
                <w:color w:val="000000" w:themeColor="text1"/>
              </w:rPr>
              <w:t xml:space="preserve">8,032 </w:t>
            </w:r>
          </w:p>
        </w:tc>
        <w:tc>
          <w:tcPr>
            <w:tcW w:w="1418" w:type="dxa"/>
            <w:tcBorders>
              <w:top w:val="nil"/>
              <w:left w:val="nil"/>
              <w:bottom w:val="single" w:sz="4" w:space="0" w:color="auto"/>
              <w:right w:val="single" w:sz="4" w:space="0" w:color="auto"/>
            </w:tcBorders>
            <w:shd w:val="clear" w:color="auto" w:fill="auto"/>
            <w:noWrap/>
            <w:vAlign w:val="center"/>
          </w:tcPr>
          <w:p w14:paraId="4835ADB4" w14:textId="11F93158" w:rsidR="00787D57" w:rsidRDefault="00787D57" w:rsidP="110985B9">
            <w:pPr>
              <w:spacing w:after="0" w:line="240" w:lineRule="auto"/>
              <w:jc w:val="right"/>
              <w:rPr>
                <w:rFonts w:cs="Arial"/>
                <w:color w:val="000000"/>
              </w:rPr>
            </w:pPr>
            <w:r w:rsidRPr="110985B9">
              <w:rPr>
                <w:rFonts w:cs="Arial"/>
                <w:color w:val="000000" w:themeColor="text1"/>
              </w:rPr>
              <w:t xml:space="preserve">3,064 </w:t>
            </w:r>
          </w:p>
        </w:tc>
        <w:tc>
          <w:tcPr>
            <w:tcW w:w="1477" w:type="dxa"/>
            <w:tcBorders>
              <w:top w:val="nil"/>
              <w:left w:val="nil"/>
              <w:bottom w:val="single" w:sz="4" w:space="0" w:color="auto"/>
              <w:right w:val="single" w:sz="4" w:space="0" w:color="auto"/>
            </w:tcBorders>
            <w:shd w:val="clear" w:color="auto" w:fill="auto"/>
            <w:noWrap/>
            <w:vAlign w:val="center"/>
          </w:tcPr>
          <w:p w14:paraId="7F1FE7AB" w14:textId="7556216F" w:rsidR="00787D57" w:rsidRDefault="00787D57" w:rsidP="110985B9">
            <w:pPr>
              <w:spacing w:after="0" w:line="240" w:lineRule="auto"/>
              <w:jc w:val="right"/>
              <w:rPr>
                <w:rFonts w:cs="Arial"/>
                <w:color w:val="000000"/>
              </w:rPr>
            </w:pPr>
            <w:r w:rsidRPr="110985B9">
              <w:rPr>
                <w:rFonts w:cs="Arial"/>
                <w:color w:val="000000" w:themeColor="text1"/>
              </w:rPr>
              <w:t>2.4%</w:t>
            </w:r>
          </w:p>
        </w:tc>
      </w:tr>
      <w:tr w:rsidR="00787D57" w:rsidRPr="00537E40" w14:paraId="1BF7C3DB"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bottom"/>
          </w:tcPr>
          <w:p w14:paraId="7D7B52AD" w14:textId="38DCD13F" w:rsidR="00787D57" w:rsidRDefault="00787D57" w:rsidP="110985B9">
            <w:pPr>
              <w:spacing w:after="0" w:line="240" w:lineRule="auto"/>
              <w:rPr>
                <w:rFonts w:cs="Arial"/>
                <w:b/>
                <w:bCs/>
                <w:color w:val="000000"/>
              </w:rPr>
            </w:pPr>
            <w:r w:rsidRPr="110985B9">
              <w:rPr>
                <w:rFonts w:cs="Arial"/>
                <w:b/>
                <w:bCs/>
                <w:color w:val="000000" w:themeColor="text1"/>
              </w:rPr>
              <w:t>Kensington</w:t>
            </w:r>
          </w:p>
        </w:tc>
        <w:tc>
          <w:tcPr>
            <w:tcW w:w="1187" w:type="dxa"/>
            <w:tcBorders>
              <w:top w:val="nil"/>
              <w:left w:val="nil"/>
              <w:bottom w:val="single" w:sz="4" w:space="0" w:color="auto"/>
              <w:right w:val="single" w:sz="4" w:space="0" w:color="auto"/>
            </w:tcBorders>
            <w:shd w:val="clear" w:color="auto" w:fill="auto"/>
            <w:noWrap/>
            <w:vAlign w:val="center"/>
          </w:tcPr>
          <w:p w14:paraId="49A7A932" w14:textId="0F6114C8" w:rsidR="00787D57" w:rsidRDefault="00787D57" w:rsidP="110985B9">
            <w:pPr>
              <w:spacing w:after="0" w:line="240" w:lineRule="auto"/>
              <w:jc w:val="right"/>
              <w:rPr>
                <w:rFonts w:cs="Arial"/>
                <w:color w:val="000000"/>
              </w:rPr>
            </w:pPr>
            <w:r w:rsidRPr="110985B9">
              <w:rPr>
                <w:rFonts w:cs="Arial"/>
                <w:color w:val="000000" w:themeColor="text1"/>
              </w:rPr>
              <w:t xml:space="preserve">10,933 </w:t>
            </w:r>
          </w:p>
        </w:tc>
        <w:tc>
          <w:tcPr>
            <w:tcW w:w="1276" w:type="dxa"/>
            <w:tcBorders>
              <w:top w:val="nil"/>
              <w:left w:val="nil"/>
              <w:bottom w:val="single" w:sz="4" w:space="0" w:color="auto"/>
              <w:right w:val="single" w:sz="4" w:space="0" w:color="auto"/>
            </w:tcBorders>
            <w:shd w:val="clear" w:color="auto" w:fill="auto"/>
            <w:noWrap/>
            <w:vAlign w:val="center"/>
          </w:tcPr>
          <w:p w14:paraId="22FEDED3" w14:textId="04447226" w:rsidR="00787D57" w:rsidRDefault="00787D57" w:rsidP="110985B9">
            <w:pPr>
              <w:spacing w:after="0" w:line="240" w:lineRule="auto"/>
              <w:jc w:val="right"/>
              <w:rPr>
                <w:rFonts w:cs="Arial"/>
                <w:color w:val="000000"/>
              </w:rPr>
            </w:pPr>
            <w:r w:rsidRPr="110985B9">
              <w:rPr>
                <w:rFonts w:cs="Arial"/>
                <w:color w:val="000000" w:themeColor="text1"/>
              </w:rPr>
              <w:t xml:space="preserve">15,847 </w:t>
            </w:r>
          </w:p>
        </w:tc>
        <w:tc>
          <w:tcPr>
            <w:tcW w:w="1275" w:type="dxa"/>
            <w:tcBorders>
              <w:top w:val="nil"/>
              <w:left w:val="nil"/>
              <w:bottom w:val="single" w:sz="4" w:space="0" w:color="auto"/>
              <w:right w:val="single" w:sz="4" w:space="0" w:color="auto"/>
            </w:tcBorders>
            <w:shd w:val="clear" w:color="auto" w:fill="auto"/>
            <w:noWrap/>
            <w:vAlign w:val="center"/>
          </w:tcPr>
          <w:p w14:paraId="2161CCF8" w14:textId="1C35A14F" w:rsidR="00787D57" w:rsidRDefault="00787D57" w:rsidP="110985B9">
            <w:pPr>
              <w:spacing w:after="0" w:line="240" w:lineRule="auto"/>
              <w:jc w:val="right"/>
              <w:rPr>
                <w:rFonts w:cs="Arial"/>
                <w:color w:val="000000"/>
              </w:rPr>
            </w:pPr>
            <w:r w:rsidRPr="110985B9">
              <w:rPr>
                <w:rFonts w:cs="Arial"/>
                <w:color w:val="000000" w:themeColor="text1"/>
              </w:rPr>
              <w:t xml:space="preserve">17,654 </w:t>
            </w:r>
          </w:p>
        </w:tc>
        <w:tc>
          <w:tcPr>
            <w:tcW w:w="1418" w:type="dxa"/>
            <w:tcBorders>
              <w:top w:val="nil"/>
              <w:left w:val="nil"/>
              <w:bottom w:val="single" w:sz="4" w:space="0" w:color="auto"/>
              <w:right w:val="single" w:sz="4" w:space="0" w:color="auto"/>
            </w:tcBorders>
            <w:shd w:val="clear" w:color="auto" w:fill="auto"/>
            <w:noWrap/>
            <w:vAlign w:val="center"/>
          </w:tcPr>
          <w:p w14:paraId="64EF2D73" w14:textId="0DA661AE" w:rsidR="00787D57" w:rsidRDefault="00787D57" w:rsidP="110985B9">
            <w:pPr>
              <w:spacing w:after="0" w:line="240" w:lineRule="auto"/>
              <w:jc w:val="right"/>
              <w:rPr>
                <w:rFonts w:cs="Arial"/>
                <w:color w:val="000000"/>
              </w:rPr>
            </w:pPr>
            <w:r w:rsidRPr="110985B9">
              <w:rPr>
                <w:rFonts w:cs="Arial"/>
                <w:color w:val="000000" w:themeColor="text1"/>
              </w:rPr>
              <w:t xml:space="preserve">6,721 </w:t>
            </w:r>
          </w:p>
        </w:tc>
        <w:tc>
          <w:tcPr>
            <w:tcW w:w="1477" w:type="dxa"/>
            <w:tcBorders>
              <w:top w:val="nil"/>
              <w:left w:val="nil"/>
              <w:bottom w:val="single" w:sz="4" w:space="0" w:color="auto"/>
              <w:right w:val="single" w:sz="4" w:space="0" w:color="auto"/>
            </w:tcBorders>
            <w:shd w:val="clear" w:color="auto" w:fill="auto"/>
            <w:noWrap/>
            <w:vAlign w:val="center"/>
          </w:tcPr>
          <w:p w14:paraId="2BF54A45" w14:textId="732B9E65" w:rsidR="00787D57" w:rsidRDefault="00787D57" w:rsidP="110985B9">
            <w:pPr>
              <w:spacing w:after="0" w:line="240" w:lineRule="auto"/>
              <w:jc w:val="right"/>
              <w:rPr>
                <w:rFonts w:cs="Arial"/>
                <w:color w:val="000000"/>
              </w:rPr>
            </w:pPr>
            <w:r w:rsidRPr="110985B9">
              <w:rPr>
                <w:rFonts w:cs="Arial"/>
                <w:color w:val="000000" w:themeColor="text1"/>
              </w:rPr>
              <w:t>2.4%</w:t>
            </w:r>
          </w:p>
        </w:tc>
      </w:tr>
      <w:tr w:rsidR="00787D57" w:rsidRPr="00537E40" w14:paraId="17CEE41B"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bottom"/>
          </w:tcPr>
          <w:p w14:paraId="0E260D6D" w14:textId="51EB63EF" w:rsidR="00787D57" w:rsidRDefault="00787D57" w:rsidP="110985B9">
            <w:pPr>
              <w:spacing w:after="0" w:line="240" w:lineRule="auto"/>
              <w:rPr>
                <w:rFonts w:cs="Arial"/>
                <w:b/>
                <w:bCs/>
                <w:color w:val="000000"/>
              </w:rPr>
            </w:pPr>
            <w:r w:rsidRPr="110985B9">
              <w:rPr>
                <w:rFonts w:cs="Arial"/>
                <w:b/>
                <w:bCs/>
                <w:color w:val="000000" w:themeColor="text1"/>
              </w:rPr>
              <w:t>Melbourne (CBD)</w:t>
            </w:r>
          </w:p>
        </w:tc>
        <w:tc>
          <w:tcPr>
            <w:tcW w:w="1187" w:type="dxa"/>
            <w:tcBorders>
              <w:top w:val="nil"/>
              <w:left w:val="nil"/>
              <w:bottom w:val="single" w:sz="4" w:space="0" w:color="auto"/>
              <w:right w:val="single" w:sz="4" w:space="0" w:color="auto"/>
            </w:tcBorders>
            <w:shd w:val="clear" w:color="auto" w:fill="auto"/>
            <w:noWrap/>
            <w:vAlign w:val="center"/>
          </w:tcPr>
          <w:p w14:paraId="73918FBA" w14:textId="0CD1B96B" w:rsidR="00787D57" w:rsidRDefault="00787D57" w:rsidP="110985B9">
            <w:pPr>
              <w:spacing w:after="0" w:line="240" w:lineRule="auto"/>
              <w:jc w:val="right"/>
              <w:rPr>
                <w:rFonts w:cs="Arial"/>
                <w:color w:val="000000"/>
              </w:rPr>
            </w:pPr>
            <w:r w:rsidRPr="110985B9">
              <w:rPr>
                <w:rFonts w:cs="Arial"/>
                <w:color w:val="000000" w:themeColor="text1"/>
              </w:rPr>
              <w:t xml:space="preserve">43,825 </w:t>
            </w:r>
          </w:p>
        </w:tc>
        <w:tc>
          <w:tcPr>
            <w:tcW w:w="1276" w:type="dxa"/>
            <w:tcBorders>
              <w:top w:val="nil"/>
              <w:left w:val="nil"/>
              <w:bottom w:val="single" w:sz="4" w:space="0" w:color="auto"/>
              <w:right w:val="single" w:sz="4" w:space="0" w:color="auto"/>
            </w:tcBorders>
            <w:shd w:val="clear" w:color="auto" w:fill="auto"/>
            <w:noWrap/>
            <w:vAlign w:val="center"/>
          </w:tcPr>
          <w:p w14:paraId="141F6008" w14:textId="2B778494" w:rsidR="00787D57" w:rsidRDefault="00787D57" w:rsidP="110985B9">
            <w:pPr>
              <w:spacing w:after="0" w:line="240" w:lineRule="auto"/>
              <w:jc w:val="right"/>
              <w:rPr>
                <w:rFonts w:cs="Arial"/>
                <w:color w:val="000000"/>
              </w:rPr>
            </w:pPr>
            <w:r w:rsidRPr="110985B9">
              <w:rPr>
                <w:rFonts w:cs="Arial"/>
                <w:color w:val="000000" w:themeColor="text1"/>
              </w:rPr>
              <w:t xml:space="preserve">70,552 </w:t>
            </w:r>
          </w:p>
        </w:tc>
        <w:tc>
          <w:tcPr>
            <w:tcW w:w="1275" w:type="dxa"/>
            <w:tcBorders>
              <w:top w:val="nil"/>
              <w:left w:val="nil"/>
              <w:bottom w:val="single" w:sz="4" w:space="0" w:color="auto"/>
              <w:right w:val="single" w:sz="4" w:space="0" w:color="auto"/>
            </w:tcBorders>
            <w:shd w:val="clear" w:color="auto" w:fill="auto"/>
            <w:noWrap/>
            <w:vAlign w:val="center"/>
          </w:tcPr>
          <w:p w14:paraId="7C32C9C1" w14:textId="18B57678" w:rsidR="00787D57" w:rsidRDefault="00787D57" w:rsidP="110985B9">
            <w:pPr>
              <w:spacing w:after="0" w:line="240" w:lineRule="auto"/>
              <w:jc w:val="right"/>
              <w:rPr>
                <w:rFonts w:cs="Arial"/>
                <w:color w:val="000000"/>
              </w:rPr>
            </w:pPr>
            <w:r w:rsidRPr="110985B9">
              <w:rPr>
                <w:rFonts w:cs="Arial"/>
                <w:color w:val="000000" w:themeColor="text1"/>
              </w:rPr>
              <w:t xml:space="preserve">89,239 </w:t>
            </w:r>
          </w:p>
        </w:tc>
        <w:tc>
          <w:tcPr>
            <w:tcW w:w="1418" w:type="dxa"/>
            <w:tcBorders>
              <w:top w:val="nil"/>
              <w:left w:val="nil"/>
              <w:bottom w:val="single" w:sz="4" w:space="0" w:color="auto"/>
              <w:right w:val="single" w:sz="4" w:space="0" w:color="auto"/>
            </w:tcBorders>
            <w:shd w:val="clear" w:color="auto" w:fill="auto"/>
            <w:noWrap/>
            <w:vAlign w:val="center"/>
          </w:tcPr>
          <w:p w14:paraId="1ECA67DA" w14:textId="154E957A" w:rsidR="00787D57" w:rsidRDefault="00787D57" w:rsidP="110985B9">
            <w:pPr>
              <w:spacing w:after="0" w:line="240" w:lineRule="auto"/>
              <w:jc w:val="right"/>
              <w:rPr>
                <w:rFonts w:cs="Arial"/>
                <w:color w:val="000000"/>
              </w:rPr>
            </w:pPr>
            <w:r w:rsidRPr="110985B9">
              <w:rPr>
                <w:rFonts w:cs="Arial"/>
                <w:color w:val="000000" w:themeColor="text1"/>
              </w:rPr>
              <w:t xml:space="preserve">45,414 </w:t>
            </w:r>
          </w:p>
        </w:tc>
        <w:tc>
          <w:tcPr>
            <w:tcW w:w="1477" w:type="dxa"/>
            <w:tcBorders>
              <w:top w:val="nil"/>
              <w:left w:val="nil"/>
              <w:bottom w:val="single" w:sz="4" w:space="0" w:color="auto"/>
              <w:right w:val="single" w:sz="4" w:space="0" w:color="auto"/>
            </w:tcBorders>
            <w:shd w:val="clear" w:color="auto" w:fill="auto"/>
            <w:noWrap/>
            <w:vAlign w:val="center"/>
          </w:tcPr>
          <w:p w14:paraId="231E75F7" w14:textId="56D7FCD7" w:rsidR="00787D57" w:rsidRDefault="00787D57" w:rsidP="110985B9">
            <w:pPr>
              <w:spacing w:after="0" w:line="240" w:lineRule="auto"/>
              <w:jc w:val="right"/>
              <w:rPr>
                <w:rFonts w:cs="Arial"/>
                <w:color w:val="000000"/>
              </w:rPr>
            </w:pPr>
            <w:r w:rsidRPr="110985B9">
              <w:rPr>
                <w:rFonts w:cs="Arial"/>
                <w:color w:val="000000" w:themeColor="text1"/>
              </w:rPr>
              <w:t>3.6%</w:t>
            </w:r>
          </w:p>
        </w:tc>
      </w:tr>
      <w:tr w:rsidR="00787D57" w:rsidRPr="00537E40" w14:paraId="0DE4CA27"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bottom"/>
          </w:tcPr>
          <w:p w14:paraId="4043EB3A" w14:textId="5CBF7E1C" w:rsidR="00787D57" w:rsidRDefault="00787D57" w:rsidP="110985B9">
            <w:pPr>
              <w:spacing w:after="0" w:line="240" w:lineRule="auto"/>
              <w:rPr>
                <w:rFonts w:cs="Arial"/>
                <w:b/>
                <w:bCs/>
                <w:color w:val="000000"/>
              </w:rPr>
            </w:pPr>
            <w:r w:rsidRPr="110985B9">
              <w:rPr>
                <w:rFonts w:cs="Arial"/>
                <w:b/>
                <w:bCs/>
                <w:color w:val="000000" w:themeColor="text1"/>
              </w:rPr>
              <w:t>Melbourne (Remainder)</w:t>
            </w:r>
          </w:p>
        </w:tc>
        <w:tc>
          <w:tcPr>
            <w:tcW w:w="1187" w:type="dxa"/>
            <w:tcBorders>
              <w:top w:val="nil"/>
              <w:left w:val="nil"/>
              <w:bottom w:val="single" w:sz="4" w:space="0" w:color="auto"/>
              <w:right w:val="single" w:sz="4" w:space="0" w:color="auto"/>
            </w:tcBorders>
            <w:shd w:val="clear" w:color="auto" w:fill="auto"/>
            <w:noWrap/>
            <w:vAlign w:val="center"/>
          </w:tcPr>
          <w:p w14:paraId="73E5750D" w14:textId="7DD2302C" w:rsidR="00787D57" w:rsidRDefault="00787D57" w:rsidP="110985B9">
            <w:pPr>
              <w:spacing w:after="0" w:line="240" w:lineRule="auto"/>
              <w:jc w:val="right"/>
              <w:rPr>
                <w:rFonts w:cs="Arial"/>
                <w:color w:val="000000"/>
              </w:rPr>
            </w:pPr>
            <w:r w:rsidRPr="110985B9">
              <w:rPr>
                <w:rFonts w:cs="Arial"/>
                <w:color w:val="000000" w:themeColor="text1"/>
              </w:rPr>
              <w:t xml:space="preserve">3,121 </w:t>
            </w:r>
          </w:p>
        </w:tc>
        <w:tc>
          <w:tcPr>
            <w:tcW w:w="1276" w:type="dxa"/>
            <w:tcBorders>
              <w:top w:val="nil"/>
              <w:left w:val="nil"/>
              <w:bottom w:val="single" w:sz="4" w:space="0" w:color="auto"/>
              <w:right w:val="single" w:sz="4" w:space="0" w:color="auto"/>
            </w:tcBorders>
            <w:shd w:val="clear" w:color="auto" w:fill="auto"/>
            <w:noWrap/>
            <w:vAlign w:val="center"/>
          </w:tcPr>
          <w:p w14:paraId="0C0E7116" w14:textId="448B6148" w:rsidR="00787D57" w:rsidRDefault="00787D57" w:rsidP="110985B9">
            <w:pPr>
              <w:spacing w:after="0" w:line="240" w:lineRule="auto"/>
              <w:jc w:val="right"/>
              <w:rPr>
                <w:rFonts w:cs="Arial"/>
                <w:color w:val="000000"/>
              </w:rPr>
            </w:pPr>
            <w:r w:rsidRPr="110985B9">
              <w:rPr>
                <w:rFonts w:cs="Arial"/>
                <w:color w:val="000000" w:themeColor="text1"/>
              </w:rPr>
              <w:t xml:space="preserve">4,429 </w:t>
            </w:r>
          </w:p>
        </w:tc>
        <w:tc>
          <w:tcPr>
            <w:tcW w:w="1275" w:type="dxa"/>
            <w:tcBorders>
              <w:top w:val="nil"/>
              <w:left w:val="nil"/>
              <w:bottom w:val="single" w:sz="4" w:space="0" w:color="auto"/>
              <w:right w:val="single" w:sz="4" w:space="0" w:color="auto"/>
            </w:tcBorders>
            <w:shd w:val="clear" w:color="auto" w:fill="auto"/>
            <w:noWrap/>
            <w:vAlign w:val="center"/>
          </w:tcPr>
          <w:p w14:paraId="469BA9BC" w14:textId="2228AEE4" w:rsidR="00787D57" w:rsidRDefault="00787D57" w:rsidP="110985B9">
            <w:pPr>
              <w:spacing w:after="0" w:line="240" w:lineRule="auto"/>
              <w:jc w:val="right"/>
              <w:rPr>
                <w:rFonts w:cs="Arial"/>
                <w:color w:val="000000"/>
              </w:rPr>
            </w:pPr>
            <w:r w:rsidRPr="110985B9">
              <w:rPr>
                <w:rFonts w:cs="Arial"/>
                <w:color w:val="000000" w:themeColor="text1"/>
              </w:rPr>
              <w:t xml:space="preserve">4,765 </w:t>
            </w:r>
          </w:p>
        </w:tc>
        <w:tc>
          <w:tcPr>
            <w:tcW w:w="1418" w:type="dxa"/>
            <w:tcBorders>
              <w:top w:val="nil"/>
              <w:left w:val="nil"/>
              <w:bottom w:val="single" w:sz="4" w:space="0" w:color="auto"/>
              <w:right w:val="single" w:sz="4" w:space="0" w:color="auto"/>
            </w:tcBorders>
            <w:shd w:val="clear" w:color="auto" w:fill="auto"/>
            <w:noWrap/>
            <w:vAlign w:val="center"/>
          </w:tcPr>
          <w:p w14:paraId="4A0CA6C7" w14:textId="1B59F05D" w:rsidR="00787D57" w:rsidRDefault="00787D57" w:rsidP="110985B9">
            <w:pPr>
              <w:spacing w:after="0" w:line="240" w:lineRule="auto"/>
              <w:jc w:val="right"/>
              <w:rPr>
                <w:rFonts w:cs="Arial"/>
                <w:color w:val="000000"/>
              </w:rPr>
            </w:pPr>
            <w:r w:rsidRPr="110985B9">
              <w:rPr>
                <w:rFonts w:cs="Arial"/>
                <w:color w:val="000000" w:themeColor="text1"/>
              </w:rPr>
              <w:t xml:space="preserve">1,644 </w:t>
            </w:r>
          </w:p>
        </w:tc>
        <w:tc>
          <w:tcPr>
            <w:tcW w:w="1477" w:type="dxa"/>
            <w:tcBorders>
              <w:top w:val="nil"/>
              <w:left w:val="nil"/>
              <w:bottom w:val="single" w:sz="4" w:space="0" w:color="auto"/>
              <w:right w:val="single" w:sz="4" w:space="0" w:color="auto"/>
            </w:tcBorders>
            <w:shd w:val="clear" w:color="auto" w:fill="auto"/>
            <w:noWrap/>
            <w:vAlign w:val="center"/>
          </w:tcPr>
          <w:p w14:paraId="70BACBC8" w14:textId="07C3302A" w:rsidR="00787D57" w:rsidRDefault="00787D57" w:rsidP="110985B9">
            <w:pPr>
              <w:spacing w:after="0" w:line="240" w:lineRule="auto"/>
              <w:jc w:val="right"/>
              <w:rPr>
                <w:rFonts w:cs="Arial"/>
                <w:color w:val="000000"/>
              </w:rPr>
            </w:pPr>
            <w:r w:rsidRPr="110985B9">
              <w:rPr>
                <w:rFonts w:cs="Arial"/>
                <w:color w:val="000000" w:themeColor="text1"/>
              </w:rPr>
              <w:t>2.1%</w:t>
            </w:r>
          </w:p>
        </w:tc>
      </w:tr>
      <w:tr w:rsidR="00787D57" w:rsidRPr="00537E40" w14:paraId="5F7E526D"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bottom"/>
          </w:tcPr>
          <w:p w14:paraId="6FEF2A19" w14:textId="22E60253" w:rsidR="00787D57" w:rsidRDefault="00787D57" w:rsidP="110985B9">
            <w:pPr>
              <w:spacing w:after="0" w:line="240" w:lineRule="auto"/>
              <w:rPr>
                <w:rFonts w:cs="Arial"/>
                <w:b/>
                <w:bCs/>
                <w:color w:val="000000"/>
              </w:rPr>
            </w:pPr>
            <w:r w:rsidRPr="110985B9">
              <w:rPr>
                <w:rFonts w:cs="Arial"/>
                <w:b/>
                <w:bCs/>
                <w:color w:val="000000" w:themeColor="text1"/>
              </w:rPr>
              <w:t>North Melbourne</w:t>
            </w:r>
          </w:p>
        </w:tc>
        <w:tc>
          <w:tcPr>
            <w:tcW w:w="1187" w:type="dxa"/>
            <w:tcBorders>
              <w:top w:val="nil"/>
              <w:left w:val="nil"/>
              <w:bottom w:val="single" w:sz="4" w:space="0" w:color="auto"/>
              <w:right w:val="single" w:sz="4" w:space="0" w:color="auto"/>
            </w:tcBorders>
            <w:shd w:val="clear" w:color="auto" w:fill="auto"/>
            <w:noWrap/>
            <w:vAlign w:val="center"/>
          </w:tcPr>
          <w:p w14:paraId="134F050D" w14:textId="57389436" w:rsidR="00787D57" w:rsidRDefault="00787D57" w:rsidP="110985B9">
            <w:pPr>
              <w:spacing w:after="0" w:line="240" w:lineRule="auto"/>
              <w:jc w:val="right"/>
              <w:rPr>
                <w:rFonts w:cs="Arial"/>
                <w:color w:val="000000"/>
              </w:rPr>
            </w:pPr>
            <w:r w:rsidRPr="110985B9">
              <w:rPr>
                <w:rFonts w:cs="Arial"/>
                <w:color w:val="000000" w:themeColor="text1"/>
              </w:rPr>
              <w:t xml:space="preserve">15,653 </w:t>
            </w:r>
          </w:p>
        </w:tc>
        <w:tc>
          <w:tcPr>
            <w:tcW w:w="1276" w:type="dxa"/>
            <w:tcBorders>
              <w:top w:val="nil"/>
              <w:left w:val="nil"/>
              <w:bottom w:val="single" w:sz="4" w:space="0" w:color="auto"/>
              <w:right w:val="single" w:sz="4" w:space="0" w:color="auto"/>
            </w:tcBorders>
            <w:shd w:val="clear" w:color="auto" w:fill="auto"/>
            <w:noWrap/>
            <w:vAlign w:val="center"/>
          </w:tcPr>
          <w:p w14:paraId="5662DC60" w14:textId="5FFB04D4" w:rsidR="00787D57" w:rsidRDefault="00787D57" w:rsidP="110985B9">
            <w:pPr>
              <w:spacing w:after="0" w:line="240" w:lineRule="auto"/>
              <w:jc w:val="right"/>
              <w:rPr>
                <w:rFonts w:cs="Arial"/>
                <w:color w:val="000000"/>
              </w:rPr>
            </w:pPr>
            <w:r w:rsidRPr="110985B9">
              <w:rPr>
                <w:rFonts w:cs="Arial"/>
                <w:color w:val="000000" w:themeColor="text1"/>
              </w:rPr>
              <w:t xml:space="preserve">25,304 </w:t>
            </w:r>
          </w:p>
        </w:tc>
        <w:tc>
          <w:tcPr>
            <w:tcW w:w="1275" w:type="dxa"/>
            <w:tcBorders>
              <w:top w:val="nil"/>
              <w:left w:val="nil"/>
              <w:bottom w:val="single" w:sz="4" w:space="0" w:color="auto"/>
              <w:right w:val="single" w:sz="4" w:space="0" w:color="auto"/>
            </w:tcBorders>
            <w:shd w:val="clear" w:color="auto" w:fill="auto"/>
            <w:noWrap/>
            <w:vAlign w:val="center"/>
          </w:tcPr>
          <w:p w14:paraId="518A0994" w14:textId="7881CF6F" w:rsidR="00787D57" w:rsidRDefault="00787D57" w:rsidP="110985B9">
            <w:pPr>
              <w:spacing w:after="0" w:line="240" w:lineRule="auto"/>
              <w:jc w:val="right"/>
              <w:rPr>
                <w:rFonts w:cs="Arial"/>
                <w:color w:val="000000"/>
              </w:rPr>
            </w:pPr>
            <w:r w:rsidRPr="110985B9">
              <w:rPr>
                <w:rFonts w:cs="Arial"/>
                <w:color w:val="000000" w:themeColor="text1"/>
              </w:rPr>
              <w:t xml:space="preserve">38,469 </w:t>
            </w:r>
          </w:p>
        </w:tc>
        <w:tc>
          <w:tcPr>
            <w:tcW w:w="1418" w:type="dxa"/>
            <w:tcBorders>
              <w:top w:val="nil"/>
              <w:left w:val="nil"/>
              <w:bottom w:val="single" w:sz="4" w:space="0" w:color="auto"/>
              <w:right w:val="single" w:sz="4" w:space="0" w:color="auto"/>
            </w:tcBorders>
            <w:shd w:val="clear" w:color="auto" w:fill="auto"/>
            <w:noWrap/>
            <w:vAlign w:val="center"/>
          </w:tcPr>
          <w:p w14:paraId="674D5961" w14:textId="04F95C70" w:rsidR="00787D57" w:rsidRDefault="00787D57" w:rsidP="110985B9">
            <w:pPr>
              <w:spacing w:after="0" w:line="240" w:lineRule="auto"/>
              <w:jc w:val="right"/>
              <w:rPr>
                <w:rFonts w:cs="Arial"/>
                <w:color w:val="000000"/>
              </w:rPr>
            </w:pPr>
            <w:r w:rsidRPr="110985B9">
              <w:rPr>
                <w:rFonts w:cs="Arial"/>
                <w:color w:val="000000" w:themeColor="text1"/>
              </w:rPr>
              <w:t xml:space="preserve">22,816 </w:t>
            </w:r>
          </w:p>
        </w:tc>
        <w:tc>
          <w:tcPr>
            <w:tcW w:w="1477" w:type="dxa"/>
            <w:tcBorders>
              <w:top w:val="nil"/>
              <w:left w:val="nil"/>
              <w:bottom w:val="single" w:sz="4" w:space="0" w:color="auto"/>
              <w:right w:val="single" w:sz="4" w:space="0" w:color="auto"/>
            </w:tcBorders>
            <w:shd w:val="clear" w:color="auto" w:fill="auto"/>
            <w:noWrap/>
            <w:vAlign w:val="center"/>
          </w:tcPr>
          <w:p w14:paraId="26AAC3AB" w14:textId="04C573D4" w:rsidR="00787D57" w:rsidRDefault="00787D57" w:rsidP="110985B9">
            <w:pPr>
              <w:spacing w:after="0" w:line="240" w:lineRule="auto"/>
              <w:jc w:val="right"/>
              <w:rPr>
                <w:rFonts w:cs="Arial"/>
                <w:color w:val="000000"/>
              </w:rPr>
            </w:pPr>
            <w:r w:rsidRPr="110985B9">
              <w:rPr>
                <w:rFonts w:cs="Arial"/>
                <w:color w:val="000000" w:themeColor="text1"/>
              </w:rPr>
              <w:t>4.6%</w:t>
            </w:r>
          </w:p>
        </w:tc>
      </w:tr>
      <w:tr w:rsidR="00787D57" w:rsidRPr="00537E40" w14:paraId="073DD2DA"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bottom"/>
          </w:tcPr>
          <w:p w14:paraId="2F6C4CEC" w14:textId="00805BDF" w:rsidR="00787D57" w:rsidRDefault="00787D57" w:rsidP="110985B9">
            <w:pPr>
              <w:spacing w:after="0" w:line="240" w:lineRule="auto"/>
              <w:rPr>
                <w:rFonts w:cs="Arial"/>
                <w:b/>
                <w:bCs/>
                <w:color w:val="000000"/>
              </w:rPr>
            </w:pPr>
            <w:r w:rsidRPr="110985B9">
              <w:rPr>
                <w:rFonts w:cs="Arial"/>
                <w:b/>
                <w:bCs/>
                <w:color w:val="000000" w:themeColor="text1"/>
              </w:rPr>
              <w:t>Parkville</w:t>
            </w:r>
          </w:p>
        </w:tc>
        <w:tc>
          <w:tcPr>
            <w:tcW w:w="1187" w:type="dxa"/>
            <w:tcBorders>
              <w:top w:val="nil"/>
              <w:left w:val="nil"/>
              <w:bottom w:val="single" w:sz="4" w:space="0" w:color="auto"/>
              <w:right w:val="single" w:sz="4" w:space="0" w:color="auto"/>
            </w:tcBorders>
            <w:shd w:val="clear" w:color="auto" w:fill="auto"/>
            <w:noWrap/>
            <w:vAlign w:val="center"/>
          </w:tcPr>
          <w:p w14:paraId="09E7B807" w14:textId="48F8BF1D" w:rsidR="00787D57" w:rsidRDefault="00787D57" w:rsidP="110985B9">
            <w:pPr>
              <w:spacing w:after="0" w:line="240" w:lineRule="auto"/>
              <w:jc w:val="right"/>
              <w:rPr>
                <w:rFonts w:cs="Arial"/>
                <w:color w:val="000000"/>
              </w:rPr>
            </w:pPr>
            <w:r w:rsidRPr="110985B9">
              <w:rPr>
                <w:rFonts w:cs="Arial"/>
                <w:color w:val="000000" w:themeColor="text1"/>
              </w:rPr>
              <w:t xml:space="preserve">7,813 </w:t>
            </w:r>
          </w:p>
        </w:tc>
        <w:tc>
          <w:tcPr>
            <w:tcW w:w="1276" w:type="dxa"/>
            <w:tcBorders>
              <w:top w:val="nil"/>
              <w:left w:val="nil"/>
              <w:bottom w:val="single" w:sz="4" w:space="0" w:color="auto"/>
              <w:right w:val="single" w:sz="4" w:space="0" w:color="auto"/>
            </w:tcBorders>
            <w:shd w:val="clear" w:color="auto" w:fill="auto"/>
            <w:noWrap/>
            <w:vAlign w:val="center"/>
          </w:tcPr>
          <w:p w14:paraId="171544B5" w14:textId="55BC8362" w:rsidR="00787D57" w:rsidRDefault="00787D57" w:rsidP="110985B9">
            <w:pPr>
              <w:spacing w:after="0" w:line="240" w:lineRule="auto"/>
              <w:jc w:val="right"/>
              <w:rPr>
                <w:rFonts w:cs="Arial"/>
                <w:color w:val="000000"/>
              </w:rPr>
            </w:pPr>
            <w:r w:rsidRPr="110985B9">
              <w:rPr>
                <w:rFonts w:cs="Arial"/>
                <w:color w:val="000000" w:themeColor="text1"/>
              </w:rPr>
              <w:t xml:space="preserve">11,223 </w:t>
            </w:r>
          </w:p>
        </w:tc>
        <w:tc>
          <w:tcPr>
            <w:tcW w:w="1275" w:type="dxa"/>
            <w:tcBorders>
              <w:top w:val="nil"/>
              <w:left w:val="nil"/>
              <w:bottom w:val="single" w:sz="4" w:space="0" w:color="auto"/>
              <w:right w:val="single" w:sz="4" w:space="0" w:color="auto"/>
            </w:tcBorders>
            <w:shd w:val="clear" w:color="auto" w:fill="auto"/>
            <w:noWrap/>
            <w:vAlign w:val="center"/>
          </w:tcPr>
          <w:p w14:paraId="64A5CE70" w14:textId="037101D4" w:rsidR="00787D57" w:rsidRDefault="00787D57" w:rsidP="110985B9">
            <w:pPr>
              <w:spacing w:after="0" w:line="240" w:lineRule="auto"/>
              <w:jc w:val="right"/>
              <w:rPr>
                <w:rFonts w:cs="Arial"/>
                <w:color w:val="000000"/>
              </w:rPr>
            </w:pPr>
            <w:r w:rsidRPr="110985B9">
              <w:rPr>
                <w:rFonts w:cs="Arial"/>
                <w:color w:val="000000" w:themeColor="text1"/>
              </w:rPr>
              <w:t xml:space="preserve">12,905 </w:t>
            </w:r>
          </w:p>
        </w:tc>
        <w:tc>
          <w:tcPr>
            <w:tcW w:w="1418" w:type="dxa"/>
            <w:tcBorders>
              <w:top w:val="nil"/>
              <w:left w:val="nil"/>
              <w:bottom w:val="single" w:sz="4" w:space="0" w:color="auto"/>
              <w:right w:val="single" w:sz="4" w:space="0" w:color="auto"/>
            </w:tcBorders>
            <w:shd w:val="clear" w:color="auto" w:fill="auto"/>
            <w:noWrap/>
            <w:vAlign w:val="center"/>
          </w:tcPr>
          <w:p w14:paraId="56F32482" w14:textId="20A98AD3" w:rsidR="00787D57" w:rsidRDefault="00787D57" w:rsidP="110985B9">
            <w:pPr>
              <w:spacing w:after="0" w:line="240" w:lineRule="auto"/>
              <w:jc w:val="right"/>
              <w:rPr>
                <w:rFonts w:cs="Arial"/>
                <w:color w:val="000000"/>
              </w:rPr>
            </w:pPr>
            <w:r w:rsidRPr="110985B9">
              <w:rPr>
                <w:rFonts w:cs="Arial"/>
                <w:color w:val="000000" w:themeColor="text1"/>
              </w:rPr>
              <w:t xml:space="preserve">5,092 </w:t>
            </w:r>
          </w:p>
        </w:tc>
        <w:tc>
          <w:tcPr>
            <w:tcW w:w="1477" w:type="dxa"/>
            <w:tcBorders>
              <w:top w:val="nil"/>
              <w:left w:val="nil"/>
              <w:bottom w:val="single" w:sz="4" w:space="0" w:color="auto"/>
              <w:right w:val="single" w:sz="4" w:space="0" w:color="auto"/>
            </w:tcBorders>
            <w:shd w:val="clear" w:color="auto" w:fill="auto"/>
            <w:noWrap/>
            <w:vAlign w:val="center"/>
          </w:tcPr>
          <w:p w14:paraId="6C2E1DE6" w14:textId="47B32F39" w:rsidR="00787D57" w:rsidRDefault="00787D57" w:rsidP="110985B9">
            <w:pPr>
              <w:spacing w:after="0" w:line="240" w:lineRule="auto"/>
              <w:jc w:val="right"/>
              <w:rPr>
                <w:rFonts w:cs="Arial"/>
                <w:color w:val="000000"/>
              </w:rPr>
            </w:pPr>
            <w:r w:rsidRPr="110985B9">
              <w:rPr>
                <w:rFonts w:cs="Arial"/>
                <w:color w:val="000000" w:themeColor="text1"/>
              </w:rPr>
              <w:t>2.5%</w:t>
            </w:r>
          </w:p>
        </w:tc>
      </w:tr>
      <w:tr w:rsidR="00787D57" w:rsidRPr="00537E40" w14:paraId="06922D70"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bottom"/>
          </w:tcPr>
          <w:p w14:paraId="5C0CBD26" w14:textId="106E6C37" w:rsidR="00787D57" w:rsidRDefault="00787D57" w:rsidP="110985B9">
            <w:pPr>
              <w:spacing w:after="0" w:line="240" w:lineRule="auto"/>
              <w:rPr>
                <w:rFonts w:cs="Arial"/>
                <w:b/>
                <w:bCs/>
                <w:color w:val="000000"/>
              </w:rPr>
            </w:pPr>
            <w:r w:rsidRPr="110985B9">
              <w:rPr>
                <w:rFonts w:cs="Arial"/>
                <w:b/>
                <w:bCs/>
                <w:color w:val="000000" w:themeColor="text1"/>
              </w:rPr>
              <w:t>Port Melbourne</w:t>
            </w:r>
          </w:p>
        </w:tc>
        <w:tc>
          <w:tcPr>
            <w:tcW w:w="1187" w:type="dxa"/>
            <w:tcBorders>
              <w:top w:val="nil"/>
              <w:left w:val="nil"/>
              <w:bottom w:val="single" w:sz="4" w:space="0" w:color="auto"/>
              <w:right w:val="single" w:sz="4" w:space="0" w:color="auto"/>
            </w:tcBorders>
            <w:shd w:val="clear" w:color="auto" w:fill="auto"/>
            <w:noWrap/>
            <w:vAlign w:val="center"/>
          </w:tcPr>
          <w:p w14:paraId="4EAD2970" w14:textId="322A2487" w:rsidR="00787D57" w:rsidRDefault="00787D57" w:rsidP="110985B9">
            <w:pPr>
              <w:spacing w:after="0" w:line="240" w:lineRule="auto"/>
              <w:jc w:val="right"/>
              <w:rPr>
                <w:rFonts w:cs="Arial"/>
                <w:color w:val="000000"/>
              </w:rPr>
            </w:pPr>
            <w:r w:rsidRPr="110985B9">
              <w:rPr>
                <w:rFonts w:cs="Arial"/>
                <w:color w:val="000000" w:themeColor="text1"/>
              </w:rPr>
              <w:t xml:space="preserve">10 </w:t>
            </w:r>
          </w:p>
        </w:tc>
        <w:tc>
          <w:tcPr>
            <w:tcW w:w="1276" w:type="dxa"/>
            <w:tcBorders>
              <w:top w:val="nil"/>
              <w:left w:val="nil"/>
              <w:bottom w:val="single" w:sz="4" w:space="0" w:color="auto"/>
              <w:right w:val="single" w:sz="4" w:space="0" w:color="auto"/>
            </w:tcBorders>
            <w:shd w:val="clear" w:color="auto" w:fill="auto"/>
            <w:noWrap/>
            <w:vAlign w:val="center"/>
          </w:tcPr>
          <w:p w14:paraId="7DE12CFB" w14:textId="778AF16E" w:rsidR="00787D57" w:rsidRDefault="00787D57" w:rsidP="110985B9">
            <w:pPr>
              <w:spacing w:after="0" w:line="240" w:lineRule="auto"/>
              <w:jc w:val="right"/>
              <w:rPr>
                <w:rFonts w:cs="Arial"/>
                <w:color w:val="000000"/>
              </w:rPr>
            </w:pPr>
            <w:r w:rsidRPr="110985B9">
              <w:rPr>
                <w:rFonts w:cs="Arial"/>
                <w:color w:val="000000" w:themeColor="text1"/>
              </w:rPr>
              <w:t xml:space="preserve">1,190 </w:t>
            </w:r>
          </w:p>
        </w:tc>
        <w:tc>
          <w:tcPr>
            <w:tcW w:w="1275" w:type="dxa"/>
            <w:tcBorders>
              <w:top w:val="nil"/>
              <w:left w:val="nil"/>
              <w:bottom w:val="single" w:sz="4" w:space="0" w:color="auto"/>
              <w:right w:val="single" w:sz="4" w:space="0" w:color="auto"/>
            </w:tcBorders>
            <w:shd w:val="clear" w:color="auto" w:fill="auto"/>
            <w:noWrap/>
            <w:vAlign w:val="center"/>
          </w:tcPr>
          <w:p w14:paraId="1FC03D2A" w14:textId="200F764E" w:rsidR="00787D57" w:rsidRDefault="00787D57" w:rsidP="110985B9">
            <w:pPr>
              <w:spacing w:after="0" w:line="240" w:lineRule="auto"/>
              <w:jc w:val="right"/>
              <w:rPr>
                <w:rFonts w:cs="Arial"/>
                <w:color w:val="000000"/>
              </w:rPr>
            </w:pPr>
            <w:r w:rsidRPr="110985B9">
              <w:rPr>
                <w:rFonts w:cs="Arial"/>
                <w:color w:val="000000" w:themeColor="text1"/>
              </w:rPr>
              <w:t xml:space="preserve">3,619 </w:t>
            </w:r>
          </w:p>
        </w:tc>
        <w:tc>
          <w:tcPr>
            <w:tcW w:w="1418" w:type="dxa"/>
            <w:tcBorders>
              <w:top w:val="nil"/>
              <w:left w:val="nil"/>
              <w:bottom w:val="single" w:sz="4" w:space="0" w:color="auto"/>
              <w:right w:val="single" w:sz="4" w:space="0" w:color="auto"/>
            </w:tcBorders>
            <w:shd w:val="clear" w:color="auto" w:fill="auto"/>
            <w:noWrap/>
            <w:vAlign w:val="center"/>
          </w:tcPr>
          <w:p w14:paraId="240E53DE" w14:textId="67BFB26B" w:rsidR="00787D57" w:rsidRDefault="00787D57" w:rsidP="110985B9">
            <w:pPr>
              <w:spacing w:after="0" w:line="240" w:lineRule="auto"/>
              <w:jc w:val="right"/>
              <w:rPr>
                <w:rFonts w:cs="Arial"/>
                <w:color w:val="000000"/>
              </w:rPr>
            </w:pPr>
            <w:r w:rsidRPr="110985B9">
              <w:rPr>
                <w:rFonts w:cs="Arial"/>
                <w:color w:val="000000" w:themeColor="text1"/>
              </w:rPr>
              <w:t xml:space="preserve">3,609 </w:t>
            </w:r>
          </w:p>
        </w:tc>
        <w:tc>
          <w:tcPr>
            <w:tcW w:w="1477" w:type="dxa"/>
            <w:tcBorders>
              <w:top w:val="nil"/>
              <w:left w:val="nil"/>
              <w:bottom w:val="single" w:sz="4" w:space="0" w:color="auto"/>
              <w:right w:val="single" w:sz="4" w:space="0" w:color="auto"/>
            </w:tcBorders>
            <w:shd w:val="clear" w:color="auto" w:fill="auto"/>
            <w:noWrap/>
            <w:vAlign w:val="center"/>
          </w:tcPr>
          <w:p w14:paraId="14A4116E" w14:textId="7BE47D14" w:rsidR="00787D57" w:rsidRDefault="00787D57" w:rsidP="110985B9">
            <w:pPr>
              <w:spacing w:after="0" w:line="240" w:lineRule="auto"/>
              <w:jc w:val="right"/>
              <w:rPr>
                <w:rFonts w:cs="Arial"/>
                <w:color w:val="000000"/>
              </w:rPr>
            </w:pPr>
            <w:r w:rsidRPr="110985B9">
              <w:rPr>
                <w:rFonts w:cs="Arial"/>
                <w:color w:val="000000" w:themeColor="text1"/>
              </w:rPr>
              <w:t>34.3%</w:t>
            </w:r>
          </w:p>
        </w:tc>
      </w:tr>
      <w:tr w:rsidR="00787D57" w:rsidRPr="00537E40" w14:paraId="705C9F40"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bottom"/>
          </w:tcPr>
          <w:p w14:paraId="67B11EE7" w14:textId="2605E308" w:rsidR="00787D57" w:rsidRDefault="00787D57" w:rsidP="110985B9">
            <w:pPr>
              <w:spacing w:after="0" w:line="240" w:lineRule="auto"/>
              <w:rPr>
                <w:rFonts w:cs="Arial"/>
                <w:b/>
                <w:bCs/>
                <w:color w:val="000000"/>
              </w:rPr>
            </w:pPr>
            <w:r w:rsidRPr="110985B9">
              <w:rPr>
                <w:rFonts w:cs="Arial"/>
                <w:b/>
                <w:bCs/>
                <w:color w:val="000000" w:themeColor="text1"/>
              </w:rPr>
              <w:t>South Yarra</w:t>
            </w:r>
          </w:p>
        </w:tc>
        <w:tc>
          <w:tcPr>
            <w:tcW w:w="1187" w:type="dxa"/>
            <w:tcBorders>
              <w:top w:val="nil"/>
              <w:left w:val="nil"/>
              <w:bottom w:val="single" w:sz="4" w:space="0" w:color="auto"/>
              <w:right w:val="single" w:sz="4" w:space="0" w:color="auto"/>
            </w:tcBorders>
            <w:shd w:val="clear" w:color="auto" w:fill="auto"/>
            <w:noWrap/>
            <w:vAlign w:val="center"/>
          </w:tcPr>
          <w:p w14:paraId="2E232AB9" w14:textId="0F4579DD" w:rsidR="00787D57" w:rsidRDefault="00787D57" w:rsidP="110985B9">
            <w:pPr>
              <w:spacing w:after="0" w:line="240" w:lineRule="auto"/>
              <w:jc w:val="right"/>
              <w:rPr>
                <w:rFonts w:cs="Arial"/>
                <w:color w:val="000000"/>
              </w:rPr>
            </w:pPr>
            <w:r w:rsidRPr="110985B9">
              <w:rPr>
                <w:rFonts w:cs="Arial"/>
                <w:color w:val="000000" w:themeColor="text1"/>
              </w:rPr>
              <w:t xml:space="preserve">3,716 </w:t>
            </w:r>
          </w:p>
        </w:tc>
        <w:tc>
          <w:tcPr>
            <w:tcW w:w="1276" w:type="dxa"/>
            <w:tcBorders>
              <w:top w:val="nil"/>
              <w:left w:val="nil"/>
              <w:bottom w:val="single" w:sz="4" w:space="0" w:color="auto"/>
              <w:right w:val="single" w:sz="4" w:space="0" w:color="auto"/>
            </w:tcBorders>
            <w:shd w:val="clear" w:color="auto" w:fill="auto"/>
            <w:noWrap/>
            <w:vAlign w:val="center"/>
          </w:tcPr>
          <w:p w14:paraId="5BCAED38" w14:textId="4FBB63AF" w:rsidR="00787D57" w:rsidRDefault="00787D57" w:rsidP="110985B9">
            <w:pPr>
              <w:spacing w:after="0" w:line="240" w:lineRule="auto"/>
              <w:jc w:val="right"/>
              <w:rPr>
                <w:rFonts w:cs="Arial"/>
                <w:color w:val="000000"/>
              </w:rPr>
            </w:pPr>
            <w:r w:rsidRPr="0082290B">
              <w:rPr>
                <w:rFonts w:cs="Arial"/>
                <w:color w:val="000000" w:themeColor="text1"/>
              </w:rPr>
              <w:t xml:space="preserve">5,467 </w:t>
            </w:r>
          </w:p>
        </w:tc>
        <w:tc>
          <w:tcPr>
            <w:tcW w:w="1275" w:type="dxa"/>
            <w:tcBorders>
              <w:top w:val="nil"/>
              <w:left w:val="nil"/>
              <w:bottom w:val="single" w:sz="4" w:space="0" w:color="auto"/>
              <w:right w:val="single" w:sz="4" w:space="0" w:color="auto"/>
            </w:tcBorders>
            <w:shd w:val="clear" w:color="auto" w:fill="auto"/>
            <w:noWrap/>
            <w:vAlign w:val="center"/>
          </w:tcPr>
          <w:p w14:paraId="55296F36" w14:textId="0C7C0C74" w:rsidR="00787D57" w:rsidRDefault="00787D57" w:rsidP="110985B9">
            <w:pPr>
              <w:spacing w:after="0" w:line="240" w:lineRule="auto"/>
              <w:jc w:val="right"/>
              <w:rPr>
                <w:rFonts w:cs="Arial"/>
                <w:color w:val="000000"/>
              </w:rPr>
            </w:pPr>
            <w:r w:rsidRPr="0082290B">
              <w:rPr>
                <w:rFonts w:cs="Arial"/>
                <w:color w:val="000000" w:themeColor="text1"/>
              </w:rPr>
              <w:t xml:space="preserve">5,780 </w:t>
            </w:r>
          </w:p>
        </w:tc>
        <w:tc>
          <w:tcPr>
            <w:tcW w:w="1418" w:type="dxa"/>
            <w:tcBorders>
              <w:top w:val="nil"/>
              <w:left w:val="nil"/>
              <w:bottom w:val="single" w:sz="4" w:space="0" w:color="auto"/>
              <w:right w:val="single" w:sz="4" w:space="0" w:color="auto"/>
            </w:tcBorders>
            <w:shd w:val="clear" w:color="auto" w:fill="auto"/>
            <w:noWrap/>
            <w:vAlign w:val="center"/>
          </w:tcPr>
          <w:p w14:paraId="66040D51" w14:textId="08FDD59F" w:rsidR="00787D57" w:rsidRDefault="00787D57" w:rsidP="110985B9">
            <w:pPr>
              <w:spacing w:after="0" w:line="240" w:lineRule="auto"/>
              <w:jc w:val="right"/>
              <w:rPr>
                <w:rFonts w:cs="Arial"/>
                <w:color w:val="000000"/>
              </w:rPr>
            </w:pPr>
            <w:r w:rsidRPr="0082290B">
              <w:rPr>
                <w:rFonts w:cs="Arial"/>
                <w:color w:val="000000" w:themeColor="text1"/>
              </w:rPr>
              <w:t xml:space="preserve">2,064 </w:t>
            </w:r>
          </w:p>
        </w:tc>
        <w:tc>
          <w:tcPr>
            <w:tcW w:w="1477" w:type="dxa"/>
            <w:tcBorders>
              <w:top w:val="nil"/>
              <w:left w:val="nil"/>
              <w:bottom w:val="single" w:sz="4" w:space="0" w:color="auto"/>
              <w:right w:val="single" w:sz="4" w:space="0" w:color="auto"/>
            </w:tcBorders>
            <w:shd w:val="clear" w:color="auto" w:fill="auto"/>
            <w:noWrap/>
            <w:vAlign w:val="center"/>
          </w:tcPr>
          <w:p w14:paraId="20EFEA4F" w14:textId="5AB16F8D" w:rsidR="00787D57" w:rsidRDefault="00787D57" w:rsidP="110985B9">
            <w:pPr>
              <w:spacing w:after="0" w:line="240" w:lineRule="auto"/>
              <w:jc w:val="right"/>
              <w:rPr>
                <w:rFonts w:cs="Arial"/>
                <w:color w:val="000000"/>
              </w:rPr>
            </w:pPr>
            <w:r w:rsidRPr="0082290B">
              <w:rPr>
                <w:rFonts w:cs="Arial"/>
                <w:color w:val="000000" w:themeColor="text1"/>
              </w:rPr>
              <w:t>2.2%</w:t>
            </w:r>
          </w:p>
        </w:tc>
      </w:tr>
      <w:tr w:rsidR="00787D57" w:rsidRPr="00537E40" w14:paraId="536AE0A9"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bottom"/>
          </w:tcPr>
          <w:p w14:paraId="6C52D1F4" w14:textId="5CF8946A" w:rsidR="00787D57" w:rsidRDefault="00787D57" w:rsidP="110985B9">
            <w:pPr>
              <w:spacing w:after="0" w:line="240" w:lineRule="auto"/>
              <w:rPr>
                <w:rFonts w:cs="Arial"/>
                <w:b/>
                <w:bCs/>
                <w:color w:val="000000"/>
              </w:rPr>
            </w:pPr>
            <w:r w:rsidRPr="110985B9">
              <w:rPr>
                <w:rFonts w:cs="Arial"/>
                <w:b/>
                <w:bCs/>
                <w:color w:val="000000" w:themeColor="text1"/>
              </w:rPr>
              <w:t>Southbank</w:t>
            </w:r>
          </w:p>
        </w:tc>
        <w:tc>
          <w:tcPr>
            <w:tcW w:w="1187" w:type="dxa"/>
            <w:tcBorders>
              <w:top w:val="nil"/>
              <w:left w:val="nil"/>
              <w:bottom w:val="single" w:sz="4" w:space="0" w:color="auto"/>
              <w:right w:val="single" w:sz="4" w:space="0" w:color="auto"/>
            </w:tcBorders>
            <w:shd w:val="clear" w:color="auto" w:fill="auto"/>
            <w:noWrap/>
            <w:vAlign w:val="center"/>
          </w:tcPr>
          <w:p w14:paraId="77CF5E65" w14:textId="1969F88D" w:rsidR="00787D57" w:rsidRDefault="00787D57" w:rsidP="110985B9">
            <w:pPr>
              <w:spacing w:after="0" w:line="240" w:lineRule="auto"/>
              <w:jc w:val="right"/>
              <w:rPr>
                <w:rFonts w:cs="Arial"/>
                <w:color w:val="000000"/>
              </w:rPr>
            </w:pPr>
            <w:r w:rsidRPr="0082290B">
              <w:rPr>
                <w:rFonts w:cs="Arial"/>
                <w:color w:val="000000" w:themeColor="text1"/>
              </w:rPr>
              <w:t xml:space="preserve">22,589 </w:t>
            </w:r>
          </w:p>
        </w:tc>
        <w:tc>
          <w:tcPr>
            <w:tcW w:w="1276" w:type="dxa"/>
            <w:tcBorders>
              <w:top w:val="nil"/>
              <w:left w:val="nil"/>
              <w:bottom w:val="single" w:sz="4" w:space="0" w:color="auto"/>
              <w:right w:val="single" w:sz="4" w:space="0" w:color="auto"/>
            </w:tcBorders>
            <w:shd w:val="clear" w:color="auto" w:fill="auto"/>
            <w:noWrap/>
            <w:vAlign w:val="center"/>
          </w:tcPr>
          <w:p w14:paraId="7509FDD0" w14:textId="0ED77898" w:rsidR="00787D57" w:rsidRDefault="00787D57" w:rsidP="110985B9">
            <w:pPr>
              <w:spacing w:after="0" w:line="240" w:lineRule="auto"/>
              <w:jc w:val="right"/>
              <w:rPr>
                <w:rFonts w:cs="Arial"/>
                <w:color w:val="000000"/>
              </w:rPr>
            </w:pPr>
            <w:r w:rsidRPr="0082290B">
              <w:rPr>
                <w:rFonts w:cs="Arial"/>
                <w:color w:val="000000" w:themeColor="text1"/>
              </w:rPr>
              <w:t xml:space="preserve">35,553 </w:t>
            </w:r>
          </w:p>
        </w:tc>
        <w:tc>
          <w:tcPr>
            <w:tcW w:w="1275" w:type="dxa"/>
            <w:tcBorders>
              <w:top w:val="nil"/>
              <w:left w:val="nil"/>
              <w:bottom w:val="single" w:sz="4" w:space="0" w:color="auto"/>
              <w:right w:val="single" w:sz="4" w:space="0" w:color="auto"/>
            </w:tcBorders>
            <w:shd w:val="clear" w:color="auto" w:fill="auto"/>
            <w:noWrap/>
            <w:vAlign w:val="center"/>
          </w:tcPr>
          <w:p w14:paraId="7C2D9965" w14:textId="22AF4C83" w:rsidR="00787D57" w:rsidRDefault="00787D57" w:rsidP="110985B9">
            <w:pPr>
              <w:spacing w:after="0" w:line="240" w:lineRule="auto"/>
              <w:jc w:val="right"/>
              <w:rPr>
                <w:rFonts w:cs="Arial"/>
                <w:color w:val="000000"/>
              </w:rPr>
            </w:pPr>
            <w:r w:rsidRPr="0082290B">
              <w:rPr>
                <w:rFonts w:cs="Arial"/>
                <w:color w:val="000000" w:themeColor="text1"/>
              </w:rPr>
              <w:t xml:space="preserve">44,605 </w:t>
            </w:r>
          </w:p>
        </w:tc>
        <w:tc>
          <w:tcPr>
            <w:tcW w:w="1418" w:type="dxa"/>
            <w:tcBorders>
              <w:top w:val="nil"/>
              <w:left w:val="nil"/>
              <w:bottom w:val="single" w:sz="4" w:space="0" w:color="auto"/>
              <w:right w:val="single" w:sz="4" w:space="0" w:color="auto"/>
            </w:tcBorders>
            <w:shd w:val="clear" w:color="auto" w:fill="auto"/>
            <w:noWrap/>
            <w:vAlign w:val="center"/>
          </w:tcPr>
          <w:p w14:paraId="00ADC493" w14:textId="5FA6BD17" w:rsidR="00787D57" w:rsidRDefault="00787D57" w:rsidP="110985B9">
            <w:pPr>
              <w:spacing w:after="0" w:line="240" w:lineRule="auto"/>
              <w:jc w:val="right"/>
              <w:rPr>
                <w:rFonts w:cs="Arial"/>
                <w:color w:val="000000"/>
              </w:rPr>
            </w:pPr>
            <w:r w:rsidRPr="0082290B">
              <w:rPr>
                <w:rFonts w:cs="Arial"/>
                <w:color w:val="000000" w:themeColor="text1"/>
              </w:rPr>
              <w:t xml:space="preserve">22,016 </w:t>
            </w:r>
          </w:p>
        </w:tc>
        <w:tc>
          <w:tcPr>
            <w:tcW w:w="1477" w:type="dxa"/>
            <w:tcBorders>
              <w:top w:val="nil"/>
              <w:left w:val="nil"/>
              <w:bottom w:val="single" w:sz="4" w:space="0" w:color="auto"/>
              <w:right w:val="single" w:sz="4" w:space="0" w:color="auto"/>
            </w:tcBorders>
            <w:shd w:val="clear" w:color="auto" w:fill="auto"/>
            <w:noWrap/>
            <w:vAlign w:val="center"/>
          </w:tcPr>
          <w:p w14:paraId="7952A06A" w14:textId="518D277C" w:rsidR="00787D57" w:rsidRDefault="00787D57" w:rsidP="110985B9">
            <w:pPr>
              <w:spacing w:after="0" w:line="240" w:lineRule="auto"/>
              <w:jc w:val="right"/>
              <w:rPr>
                <w:rFonts w:cs="Arial"/>
                <w:color w:val="000000"/>
              </w:rPr>
            </w:pPr>
            <w:r w:rsidRPr="0082290B">
              <w:rPr>
                <w:rFonts w:cs="Arial"/>
                <w:color w:val="000000" w:themeColor="text1"/>
              </w:rPr>
              <w:t>3.5%</w:t>
            </w:r>
          </w:p>
        </w:tc>
      </w:tr>
      <w:tr w:rsidR="00787D57" w:rsidRPr="00537E40" w14:paraId="752A2693"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bottom"/>
          </w:tcPr>
          <w:p w14:paraId="11497475" w14:textId="4370FD87" w:rsidR="00787D57" w:rsidRDefault="00787D57" w:rsidP="110985B9">
            <w:pPr>
              <w:spacing w:after="0" w:line="240" w:lineRule="auto"/>
              <w:rPr>
                <w:rFonts w:cs="Arial"/>
                <w:b/>
                <w:bCs/>
                <w:color w:val="000000"/>
              </w:rPr>
            </w:pPr>
            <w:r w:rsidRPr="110985B9">
              <w:rPr>
                <w:rFonts w:cs="Arial"/>
                <w:b/>
                <w:bCs/>
                <w:color w:val="000000" w:themeColor="text1"/>
              </w:rPr>
              <w:t>West Melbourne (Industrial)</w:t>
            </w:r>
          </w:p>
        </w:tc>
        <w:tc>
          <w:tcPr>
            <w:tcW w:w="1187" w:type="dxa"/>
            <w:tcBorders>
              <w:top w:val="nil"/>
              <w:left w:val="nil"/>
              <w:bottom w:val="single" w:sz="4" w:space="0" w:color="auto"/>
              <w:right w:val="single" w:sz="4" w:space="0" w:color="auto"/>
            </w:tcBorders>
            <w:shd w:val="clear" w:color="auto" w:fill="auto"/>
            <w:noWrap/>
            <w:vAlign w:val="center"/>
          </w:tcPr>
          <w:p w14:paraId="5C3A785B" w14:textId="083CFB57" w:rsidR="00787D57" w:rsidRDefault="00787D57" w:rsidP="110985B9">
            <w:pPr>
              <w:spacing w:after="0" w:line="240" w:lineRule="auto"/>
              <w:jc w:val="right"/>
              <w:rPr>
                <w:rFonts w:cs="Arial"/>
                <w:color w:val="000000"/>
              </w:rPr>
            </w:pPr>
            <w:r w:rsidRPr="0082290B">
              <w:rPr>
                <w:rFonts w:cs="Arial"/>
                <w:color w:val="000000" w:themeColor="text1"/>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42D0E5C5" w14:textId="124E7F9D" w:rsidR="00787D57" w:rsidRDefault="00787D57" w:rsidP="110985B9">
            <w:pPr>
              <w:spacing w:after="0" w:line="240" w:lineRule="auto"/>
              <w:jc w:val="right"/>
              <w:rPr>
                <w:rFonts w:cs="Arial"/>
                <w:color w:val="000000"/>
              </w:rPr>
            </w:pPr>
            <w:r w:rsidRPr="0082290B">
              <w:rPr>
                <w:rFonts w:cs="Arial"/>
                <w:color w:val="000000" w:themeColor="text1"/>
              </w:rPr>
              <w:t xml:space="preserve">-   </w:t>
            </w:r>
          </w:p>
        </w:tc>
        <w:tc>
          <w:tcPr>
            <w:tcW w:w="1275" w:type="dxa"/>
            <w:tcBorders>
              <w:top w:val="nil"/>
              <w:left w:val="nil"/>
              <w:bottom w:val="single" w:sz="4" w:space="0" w:color="auto"/>
              <w:right w:val="single" w:sz="4" w:space="0" w:color="auto"/>
            </w:tcBorders>
            <w:shd w:val="clear" w:color="auto" w:fill="auto"/>
            <w:noWrap/>
            <w:vAlign w:val="center"/>
          </w:tcPr>
          <w:p w14:paraId="278BBF94" w14:textId="4EEBE829" w:rsidR="00787D57" w:rsidRDefault="00787D57" w:rsidP="110985B9">
            <w:pPr>
              <w:spacing w:after="0" w:line="240" w:lineRule="auto"/>
              <w:jc w:val="right"/>
              <w:rPr>
                <w:rFonts w:cs="Arial"/>
                <w:color w:val="000000"/>
              </w:rPr>
            </w:pPr>
            <w:r w:rsidRPr="0082290B">
              <w:rPr>
                <w:rFonts w:cs="Arial"/>
                <w:color w:val="000000" w:themeColor="text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4FF5FDFA" w14:textId="3E3880E6" w:rsidR="00787D57" w:rsidRDefault="00787D57" w:rsidP="110985B9">
            <w:pPr>
              <w:spacing w:after="0" w:line="240" w:lineRule="auto"/>
              <w:jc w:val="right"/>
              <w:rPr>
                <w:rFonts w:cs="Arial"/>
                <w:color w:val="000000"/>
              </w:rPr>
            </w:pPr>
            <w:r w:rsidRPr="0082290B">
              <w:rPr>
                <w:rFonts w:cs="Arial"/>
                <w:color w:val="000000" w:themeColor="text1"/>
              </w:rPr>
              <w:t xml:space="preserve">                    -   </w:t>
            </w:r>
          </w:p>
        </w:tc>
        <w:tc>
          <w:tcPr>
            <w:tcW w:w="1477" w:type="dxa"/>
            <w:tcBorders>
              <w:top w:val="nil"/>
              <w:left w:val="nil"/>
              <w:bottom w:val="single" w:sz="4" w:space="0" w:color="auto"/>
              <w:right w:val="single" w:sz="4" w:space="0" w:color="auto"/>
            </w:tcBorders>
            <w:shd w:val="clear" w:color="auto" w:fill="auto"/>
            <w:noWrap/>
            <w:vAlign w:val="center"/>
          </w:tcPr>
          <w:p w14:paraId="0C983450" w14:textId="58896D3F" w:rsidR="00787D57" w:rsidRDefault="00787D57" w:rsidP="110985B9">
            <w:pPr>
              <w:spacing w:after="0" w:line="240" w:lineRule="auto"/>
              <w:jc w:val="right"/>
              <w:rPr>
                <w:rFonts w:cs="Arial"/>
                <w:color w:val="000000"/>
              </w:rPr>
            </w:pPr>
            <w:r w:rsidRPr="0082290B">
              <w:rPr>
                <w:rFonts w:cs="Arial"/>
                <w:color w:val="000000" w:themeColor="text1"/>
              </w:rPr>
              <w:t>0.0%</w:t>
            </w:r>
          </w:p>
        </w:tc>
      </w:tr>
      <w:tr w:rsidR="00787D57" w:rsidRPr="00537E40" w14:paraId="2D5FBE1A"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bottom"/>
          </w:tcPr>
          <w:p w14:paraId="719D8F1D" w14:textId="2C30CC78" w:rsidR="00787D57" w:rsidRDefault="00787D57" w:rsidP="110985B9">
            <w:pPr>
              <w:spacing w:after="0" w:line="240" w:lineRule="auto"/>
              <w:rPr>
                <w:rFonts w:cs="Arial"/>
                <w:b/>
                <w:bCs/>
                <w:color w:val="000000"/>
              </w:rPr>
            </w:pPr>
            <w:r w:rsidRPr="110985B9">
              <w:rPr>
                <w:rFonts w:cs="Arial"/>
                <w:b/>
                <w:bCs/>
                <w:color w:val="000000" w:themeColor="text1"/>
              </w:rPr>
              <w:t>West Melbourne (Residential)</w:t>
            </w:r>
          </w:p>
        </w:tc>
        <w:tc>
          <w:tcPr>
            <w:tcW w:w="1187" w:type="dxa"/>
            <w:tcBorders>
              <w:top w:val="nil"/>
              <w:left w:val="nil"/>
              <w:bottom w:val="single" w:sz="4" w:space="0" w:color="auto"/>
              <w:right w:val="single" w:sz="4" w:space="0" w:color="auto"/>
            </w:tcBorders>
            <w:shd w:val="clear" w:color="auto" w:fill="auto"/>
            <w:noWrap/>
            <w:vAlign w:val="center"/>
          </w:tcPr>
          <w:p w14:paraId="0DB08AC8" w14:textId="2B8082A1" w:rsidR="00787D57" w:rsidRDefault="00787D57" w:rsidP="110985B9">
            <w:pPr>
              <w:spacing w:after="0" w:line="240" w:lineRule="auto"/>
              <w:jc w:val="right"/>
              <w:rPr>
                <w:rFonts w:cs="Arial"/>
                <w:color w:val="000000"/>
              </w:rPr>
            </w:pPr>
            <w:r w:rsidRPr="0082290B">
              <w:rPr>
                <w:rFonts w:cs="Arial"/>
                <w:color w:val="000000" w:themeColor="text1"/>
              </w:rPr>
              <w:t xml:space="preserve">7,935 </w:t>
            </w:r>
          </w:p>
        </w:tc>
        <w:tc>
          <w:tcPr>
            <w:tcW w:w="1276" w:type="dxa"/>
            <w:tcBorders>
              <w:top w:val="nil"/>
              <w:left w:val="nil"/>
              <w:bottom w:val="single" w:sz="4" w:space="0" w:color="auto"/>
              <w:right w:val="single" w:sz="4" w:space="0" w:color="auto"/>
            </w:tcBorders>
            <w:shd w:val="clear" w:color="auto" w:fill="auto"/>
            <w:noWrap/>
            <w:vAlign w:val="center"/>
          </w:tcPr>
          <w:p w14:paraId="5CCD7551" w14:textId="679CF530" w:rsidR="00787D57" w:rsidRDefault="00787D57" w:rsidP="110985B9">
            <w:pPr>
              <w:spacing w:after="0" w:line="240" w:lineRule="auto"/>
              <w:jc w:val="right"/>
              <w:rPr>
                <w:rFonts w:cs="Arial"/>
                <w:color w:val="000000"/>
              </w:rPr>
            </w:pPr>
            <w:r w:rsidRPr="0082290B">
              <w:rPr>
                <w:rFonts w:cs="Arial"/>
                <w:color w:val="000000" w:themeColor="text1"/>
              </w:rPr>
              <w:t xml:space="preserve">12,716 </w:t>
            </w:r>
          </w:p>
        </w:tc>
        <w:tc>
          <w:tcPr>
            <w:tcW w:w="1275" w:type="dxa"/>
            <w:tcBorders>
              <w:top w:val="nil"/>
              <w:left w:val="nil"/>
              <w:bottom w:val="single" w:sz="4" w:space="0" w:color="auto"/>
              <w:right w:val="single" w:sz="4" w:space="0" w:color="auto"/>
            </w:tcBorders>
            <w:shd w:val="clear" w:color="auto" w:fill="auto"/>
            <w:noWrap/>
            <w:vAlign w:val="center"/>
          </w:tcPr>
          <w:p w14:paraId="2D9ACD0F" w14:textId="1BD72799" w:rsidR="00787D57" w:rsidRDefault="00787D57" w:rsidP="110985B9">
            <w:pPr>
              <w:spacing w:after="0" w:line="240" w:lineRule="auto"/>
              <w:jc w:val="right"/>
              <w:rPr>
                <w:rFonts w:cs="Arial"/>
                <w:color w:val="000000"/>
              </w:rPr>
            </w:pPr>
            <w:r w:rsidRPr="0082290B">
              <w:rPr>
                <w:rFonts w:cs="Arial"/>
                <w:color w:val="000000" w:themeColor="text1"/>
              </w:rPr>
              <w:t xml:space="preserve">14,814 </w:t>
            </w:r>
          </w:p>
        </w:tc>
        <w:tc>
          <w:tcPr>
            <w:tcW w:w="1418" w:type="dxa"/>
            <w:tcBorders>
              <w:top w:val="nil"/>
              <w:left w:val="nil"/>
              <w:bottom w:val="single" w:sz="4" w:space="0" w:color="auto"/>
              <w:right w:val="single" w:sz="4" w:space="0" w:color="auto"/>
            </w:tcBorders>
            <w:shd w:val="clear" w:color="auto" w:fill="auto"/>
            <w:noWrap/>
            <w:vAlign w:val="center"/>
          </w:tcPr>
          <w:p w14:paraId="00C041DD" w14:textId="23D35DC9" w:rsidR="00787D57" w:rsidRDefault="00787D57" w:rsidP="110985B9">
            <w:pPr>
              <w:spacing w:after="0" w:line="240" w:lineRule="auto"/>
              <w:jc w:val="right"/>
              <w:rPr>
                <w:rFonts w:cs="Arial"/>
                <w:color w:val="000000"/>
              </w:rPr>
            </w:pPr>
            <w:r w:rsidRPr="0082290B">
              <w:rPr>
                <w:rFonts w:cs="Arial"/>
                <w:color w:val="000000" w:themeColor="text1"/>
              </w:rPr>
              <w:t xml:space="preserve">6,879 </w:t>
            </w:r>
          </w:p>
        </w:tc>
        <w:tc>
          <w:tcPr>
            <w:tcW w:w="1477" w:type="dxa"/>
            <w:tcBorders>
              <w:top w:val="nil"/>
              <w:left w:val="nil"/>
              <w:bottom w:val="single" w:sz="4" w:space="0" w:color="auto"/>
              <w:right w:val="single" w:sz="4" w:space="0" w:color="auto"/>
            </w:tcBorders>
            <w:shd w:val="clear" w:color="auto" w:fill="auto"/>
            <w:noWrap/>
            <w:vAlign w:val="center"/>
          </w:tcPr>
          <w:p w14:paraId="70D3B1CF" w14:textId="2CF4C50D" w:rsidR="00787D57" w:rsidRDefault="00787D57" w:rsidP="110985B9">
            <w:pPr>
              <w:spacing w:after="0" w:line="240" w:lineRule="auto"/>
              <w:jc w:val="right"/>
              <w:rPr>
                <w:rFonts w:cs="Arial"/>
                <w:color w:val="000000"/>
              </w:rPr>
            </w:pPr>
            <w:r w:rsidRPr="0082290B">
              <w:rPr>
                <w:rFonts w:cs="Arial"/>
                <w:color w:val="000000" w:themeColor="text1"/>
              </w:rPr>
              <w:t>3.2%</w:t>
            </w:r>
          </w:p>
        </w:tc>
      </w:tr>
      <w:tr w:rsidR="00787D57" w:rsidRPr="00537E40" w14:paraId="7769ED7D"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24DFEB3B" w14:textId="77777777" w:rsidR="00787D57" w:rsidRDefault="00787D57" w:rsidP="00787D57">
            <w:pPr>
              <w:spacing w:after="0"/>
              <w:rPr>
                <w:rFonts w:cs="Arial"/>
                <w:b/>
                <w:bCs/>
                <w:color w:val="000000"/>
                <w:szCs w:val="20"/>
              </w:rPr>
            </w:pPr>
            <w:r>
              <w:rPr>
                <w:rFonts w:cs="Arial"/>
                <w:b/>
                <w:bCs/>
                <w:color w:val="000000"/>
                <w:szCs w:val="20"/>
              </w:rPr>
              <w:t>Total (City of Melbourne)</w:t>
            </w:r>
          </w:p>
        </w:tc>
        <w:tc>
          <w:tcPr>
            <w:tcW w:w="1187" w:type="dxa"/>
            <w:tcBorders>
              <w:top w:val="nil"/>
              <w:left w:val="nil"/>
              <w:bottom w:val="single" w:sz="4" w:space="0" w:color="auto"/>
              <w:right w:val="single" w:sz="4" w:space="0" w:color="auto"/>
            </w:tcBorders>
            <w:shd w:val="clear" w:color="auto" w:fill="auto"/>
            <w:noWrap/>
            <w:vAlign w:val="center"/>
          </w:tcPr>
          <w:p w14:paraId="4D990D80" w14:textId="0AD4DFB2" w:rsidR="00787D57" w:rsidRPr="006E028D" w:rsidRDefault="00787D57" w:rsidP="110985B9">
            <w:pPr>
              <w:spacing w:after="0" w:line="240" w:lineRule="auto"/>
              <w:jc w:val="right"/>
              <w:rPr>
                <w:rFonts w:cs="Arial"/>
                <w:b/>
                <w:bCs/>
                <w:color w:val="000000"/>
              </w:rPr>
            </w:pPr>
            <w:r w:rsidRPr="0082290B">
              <w:rPr>
                <w:rFonts w:cs="Arial"/>
                <w:b/>
                <w:bCs/>
                <w:color w:val="000000" w:themeColor="text1"/>
              </w:rPr>
              <w:t xml:space="preserve">153,674 </w:t>
            </w:r>
          </w:p>
        </w:tc>
        <w:tc>
          <w:tcPr>
            <w:tcW w:w="1276" w:type="dxa"/>
            <w:tcBorders>
              <w:top w:val="nil"/>
              <w:left w:val="nil"/>
              <w:bottom w:val="single" w:sz="4" w:space="0" w:color="auto"/>
              <w:right w:val="single" w:sz="4" w:space="0" w:color="auto"/>
            </w:tcBorders>
            <w:shd w:val="clear" w:color="auto" w:fill="auto"/>
            <w:noWrap/>
            <w:vAlign w:val="center"/>
          </w:tcPr>
          <w:p w14:paraId="5A552611" w14:textId="3999ABBB" w:rsidR="00787D57" w:rsidRPr="006E028D" w:rsidRDefault="00787D57" w:rsidP="110985B9">
            <w:pPr>
              <w:spacing w:after="0" w:line="240" w:lineRule="auto"/>
              <w:jc w:val="right"/>
              <w:rPr>
                <w:rFonts w:cs="Arial"/>
                <w:b/>
                <w:bCs/>
                <w:color w:val="000000"/>
              </w:rPr>
            </w:pPr>
            <w:r w:rsidRPr="0082290B">
              <w:rPr>
                <w:rFonts w:cs="Arial"/>
                <w:b/>
                <w:bCs/>
                <w:color w:val="000000" w:themeColor="text1"/>
              </w:rPr>
              <w:t xml:space="preserve">241,391 </w:t>
            </w:r>
          </w:p>
        </w:tc>
        <w:tc>
          <w:tcPr>
            <w:tcW w:w="1275" w:type="dxa"/>
            <w:tcBorders>
              <w:top w:val="nil"/>
              <w:left w:val="nil"/>
              <w:bottom w:val="single" w:sz="4" w:space="0" w:color="auto"/>
              <w:right w:val="single" w:sz="4" w:space="0" w:color="auto"/>
            </w:tcBorders>
            <w:shd w:val="clear" w:color="auto" w:fill="auto"/>
            <w:noWrap/>
            <w:vAlign w:val="center"/>
          </w:tcPr>
          <w:p w14:paraId="18EA1AB9" w14:textId="75BB43E0" w:rsidR="00787D57" w:rsidRPr="006E028D" w:rsidRDefault="00787D57" w:rsidP="110985B9">
            <w:pPr>
              <w:spacing w:after="0" w:line="240" w:lineRule="auto"/>
              <w:jc w:val="right"/>
              <w:rPr>
                <w:rFonts w:cs="Arial"/>
                <w:b/>
                <w:bCs/>
                <w:color w:val="000000"/>
              </w:rPr>
            </w:pPr>
            <w:r w:rsidRPr="0082290B">
              <w:rPr>
                <w:rFonts w:cs="Arial"/>
                <w:b/>
                <w:bCs/>
                <w:color w:val="000000" w:themeColor="text1"/>
              </w:rPr>
              <w:t xml:space="preserve">308,190 </w:t>
            </w:r>
          </w:p>
        </w:tc>
        <w:tc>
          <w:tcPr>
            <w:tcW w:w="1418" w:type="dxa"/>
            <w:tcBorders>
              <w:top w:val="nil"/>
              <w:left w:val="nil"/>
              <w:bottom w:val="single" w:sz="4" w:space="0" w:color="auto"/>
              <w:right w:val="single" w:sz="4" w:space="0" w:color="auto"/>
            </w:tcBorders>
            <w:shd w:val="clear" w:color="auto" w:fill="auto"/>
            <w:noWrap/>
            <w:vAlign w:val="center"/>
          </w:tcPr>
          <w:p w14:paraId="52ED85BA" w14:textId="75B6B0D0" w:rsidR="00787D57" w:rsidRPr="006E028D" w:rsidRDefault="00787D57" w:rsidP="110985B9">
            <w:pPr>
              <w:spacing w:after="0" w:line="240" w:lineRule="auto"/>
              <w:jc w:val="right"/>
              <w:rPr>
                <w:rFonts w:cs="Arial"/>
                <w:b/>
                <w:bCs/>
                <w:color w:val="000000"/>
              </w:rPr>
            </w:pPr>
            <w:r w:rsidRPr="0082290B">
              <w:rPr>
                <w:rFonts w:cs="Arial"/>
                <w:b/>
                <w:bCs/>
                <w:color w:val="000000" w:themeColor="text1"/>
              </w:rPr>
              <w:t xml:space="preserve">154,516 </w:t>
            </w:r>
          </w:p>
        </w:tc>
        <w:tc>
          <w:tcPr>
            <w:tcW w:w="1477" w:type="dxa"/>
            <w:tcBorders>
              <w:top w:val="nil"/>
              <w:left w:val="nil"/>
              <w:bottom w:val="single" w:sz="4" w:space="0" w:color="auto"/>
              <w:right w:val="single" w:sz="4" w:space="0" w:color="auto"/>
            </w:tcBorders>
            <w:shd w:val="clear" w:color="auto" w:fill="auto"/>
            <w:noWrap/>
            <w:vAlign w:val="center"/>
          </w:tcPr>
          <w:p w14:paraId="256E1E10" w14:textId="776D6579" w:rsidR="00787D57" w:rsidRPr="006E028D" w:rsidRDefault="00787D57" w:rsidP="110985B9">
            <w:pPr>
              <w:spacing w:after="0" w:line="240" w:lineRule="auto"/>
              <w:jc w:val="right"/>
              <w:rPr>
                <w:rFonts w:cs="Arial"/>
                <w:b/>
                <w:bCs/>
                <w:color w:val="000000"/>
              </w:rPr>
            </w:pPr>
            <w:r w:rsidRPr="0082290B">
              <w:rPr>
                <w:rFonts w:cs="Arial"/>
                <w:b/>
                <w:bCs/>
                <w:color w:val="000000" w:themeColor="text1"/>
              </w:rPr>
              <w:t>3.5%</w:t>
            </w:r>
          </w:p>
        </w:tc>
      </w:tr>
    </w:tbl>
    <w:p w14:paraId="408F4AFB" w14:textId="1082F689" w:rsidR="007121A4" w:rsidRDefault="00145294" w:rsidP="110985B9">
      <w:pPr>
        <w:spacing w:before="120"/>
        <w:rPr>
          <w:sz w:val="16"/>
          <w:szCs w:val="16"/>
        </w:rPr>
      </w:pPr>
      <w:r w:rsidRPr="110985B9">
        <w:rPr>
          <w:sz w:val="16"/>
          <w:szCs w:val="16"/>
        </w:rPr>
        <w:t>Source: SGS Economics and Planning, 202</w:t>
      </w:r>
      <w:r w:rsidR="00787D57" w:rsidRPr="110985B9">
        <w:rPr>
          <w:sz w:val="16"/>
          <w:szCs w:val="16"/>
        </w:rPr>
        <w:t>2</w:t>
      </w:r>
      <w:r w:rsidR="00915EAC" w:rsidRPr="110985B9">
        <w:rPr>
          <w:sz w:val="16"/>
          <w:szCs w:val="16"/>
        </w:rPr>
        <w:t>.  Table shows rounded figures.</w:t>
      </w:r>
    </w:p>
    <w:p w14:paraId="01063A47" w14:textId="744E884A" w:rsidR="007121A4" w:rsidRPr="00537E40" w:rsidRDefault="007121A4" w:rsidP="001D104E">
      <w:pPr>
        <w:pStyle w:val="Heading2"/>
        <w:rPr>
          <w:rFonts w:hint="eastAsia"/>
        </w:rPr>
      </w:pPr>
      <w:bookmarkStart w:id="28" w:name="_Toc119682396"/>
      <w:r>
        <w:t>Households by small area 202</w:t>
      </w:r>
      <w:r w:rsidR="00787D57">
        <w:t>1</w:t>
      </w:r>
      <w:r>
        <w:t xml:space="preserve">, </w:t>
      </w:r>
      <w:r w:rsidR="00787D57">
        <w:t xml:space="preserve">2031 </w:t>
      </w:r>
      <w:r>
        <w:t xml:space="preserve">and </w:t>
      </w:r>
      <w:r w:rsidR="00787D57">
        <w:t>2041</w:t>
      </w:r>
      <w:bookmarkEnd w:id="28"/>
    </w:p>
    <w:tbl>
      <w:tblPr>
        <w:tblW w:w="9694" w:type="dxa"/>
        <w:tblLayout w:type="fixed"/>
        <w:tblLook w:val="04A0" w:firstRow="1" w:lastRow="0" w:firstColumn="1" w:lastColumn="0" w:noHBand="0" w:noVBand="1"/>
      </w:tblPr>
      <w:tblGrid>
        <w:gridCol w:w="3061"/>
        <w:gridCol w:w="1187"/>
        <w:gridCol w:w="1276"/>
        <w:gridCol w:w="1275"/>
        <w:gridCol w:w="1418"/>
        <w:gridCol w:w="1477"/>
      </w:tblGrid>
      <w:tr w:rsidR="00E57B1C" w:rsidRPr="00537E40" w14:paraId="1641B2F2" w14:textId="77777777" w:rsidTr="110985B9">
        <w:trPr>
          <w:trHeight w:val="285"/>
        </w:trPr>
        <w:tc>
          <w:tcPr>
            <w:tcW w:w="3061" w:type="dxa"/>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1CBC724C" w14:textId="77777777" w:rsidR="00E57B1C" w:rsidRPr="00B07612" w:rsidRDefault="00E57B1C" w:rsidP="00E57B1C">
            <w:pPr>
              <w:spacing w:after="0" w:line="240" w:lineRule="auto"/>
              <w:rPr>
                <w:rFonts w:eastAsia="Times New Roman" w:cs="Arial"/>
                <w:b/>
                <w:bCs/>
                <w:color w:val="000000"/>
                <w:szCs w:val="20"/>
                <w:lang w:eastAsia="en-AU"/>
              </w:rPr>
            </w:pPr>
            <w:r>
              <w:rPr>
                <w:rFonts w:eastAsia="Times New Roman" w:cs="Arial"/>
                <w:b/>
                <w:bCs/>
                <w:color w:val="000000"/>
                <w:szCs w:val="20"/>
                <w:lang w:eastAsia="en-AU"/>
              </w:rPr>
              <w:t>CLUE small area</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A610A" w14:textId="115BF143" w:rsidR="00E57B1C" w:rsidRPr="00B07612" w:rsidRDefault="00787D57"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5FC1B" w14:textId="58873424" w:rsidR="00E57B1C" w:rsidRPr="00B07612" w:rsidRDefault="00787D57"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2031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2AC20" w14:textId="7DB28105" w:rsidR="00E57B1C" w:rsidRPr="00B07612" w:rsidRDefault="00787D57"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3D16FD4" w14:textId="0BD4D094"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 xml:space="preserve">Change </w:t>
            </w:r>
            <w:r w:rsidR="00787D57" w:rsidRPr="110985B9">
              <w:rPr>
                <w:rFonts w:eastAsia="Times New Roman" w:cs="Arial"/>
                <w:b/>
                <w:bCs/>
                <w:color w:val="000000" w:themeColor="text1"/>
                <w:lang w:eastAsia="en-AU"/>
              </w:rPr>
              <w:t>2021</w:t>
            </w:r>
            <w:r w:rsidRPr="110985B9">
              <w:rPr>
                <w:rFonts w:eastAsia="Times New Roman" w:cs="Arial"/>
                <w:b/>
                <w:bCs/>
                <w:color w:val="000000" w:themeColor="text1"/>
                <w:lang w:eastAsia="en-AU"/>
              </w:rPr>
              <w:t>-</w:t>
            </w:r>
            <w:r w:rsidR="00787D57" w:rsidRPr="110985B9">
              <w:rPr>
                <w:rFonts w:eastAsia="Times New Roman" w:cs="Arial"/>
                <w:b/>
                <w:bCs/>
                <w:color w:val="000000" w:themeColor="text1"/>
                <w:lang w:eastAsia="en-AU"/>
              </w:rPr>
              <w:t>2041</w:t>
            </w:r>
          </w:p>
        </w:tc>
        <w:tc>
          <w:tcPr>
            <w:tcW w:w="1477" w:type="dxa"/>
            <w:tcBorders>
              <w:top w:val="single" w:sz="4" w:space="0" w:color="auto"/>
              <w:left w:val="nil"/>
              <w:bottom w:val="single" w:sz="4" w:space="0" w:color="auto"/>
              <w:right w:val="single" w:sz="4" w:space="0" w:color="auto"/>
            </w:tcBorders>
            <w:shd w:val="clear" w:color="auto" w:fill="auto"/>
            <w:vAlign w:val="center"/>
          </w:tcPr>
          <w:p w14:paraId="697B0306" w14:textId="723CAAF9"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 xml:space="preserve">Avg. Annual Growth Rate </w:t>
            </w:r>
            <w:r w:rsidR="00787D57" w:rsidRPr="110985B9">
              <w:rPr>
                <w:rFonts w:eastAsia="Times New Roman" w:cs="Arial"/>
                <w:b/>
                <w:bCs/>
                <w:color w:val="000000" w:themeColor="text1"/>
                <w:lang w:eastAsia="en-AU"/>
              </w:rPr>
              <w:t>2021</w:t>
            </w:r>
            <w:r w:rsidRPr="110985B9">
              <w:rPr>
                <w:rFonts w:eastAsia="Times New Roman" w:cs="Arial"/>
                <w:b/>
                <w:bCs/>
                <w:color w:val="000000" w:themeColor="text1"/>
                <w:lang w:eastAsia="en-AU"/>
              </w:rPr>
              <w:t>-</w:t>
            </w:r>
            <w:r w:rsidR="00787D57" w:rsidRPr="110985B9">
              <w:rPr>
                <w:rFonts w:eastAsia="Times New Roman" w:cs="Arial"/>
                <w:b/>
                <w:bCs/>
                <w:color w:val="000000" w:themeColor="text1"/>
                <w:lang w:eastAsia="en-AU"/>
              </w:rPr>
              <w:t>2041</w:t>
            </w:r>
          </w:p>
        </w:tc>
      </w:tr>
      <w:tr w:rsidR="00787D57" w:rsidRPr="00537E40" w14:paraId="28CA0107"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60A0EF90" w14:textId="77777777" w:rsidR="00787D57" w:rsidRDefault="00787D57" w:rsidP="00787D57">
            <w:pPr>
              <w:spacing w:after="0" w:line="240" w:lineRule="auto"/>
              <w:rPr>
                <w:rFonts w:cs="Arial"/>
                <w:b/>
                <w:bCs/>
                <w:color w:val="000000"/>
                <w:szCs w:val="20"/>
                <w:lang w:eastAsia="en-AU"/>
              </w:rPr>
            </w:pPr>
            <w:r>
              <w:rPr>
                <w:rFonts w:cs="Arial"/>
                <w:b/>
                <w:bCs/>
                <w:color w:val="000000"/>
                <w:szCs w:val="20"/>
              </w:rPr>
              <w:t>Carlton</w:t>
            </w:r>
          </w:p>
        </w:tc>
        <w:tc>
          <w:tcPr>
            <w:tcW w:w="1187" w:type="dxa"/>
            <w:tcBorders>
              <w:top w:val="nil"/>
              <w:left w:val="nil"/>
              <w:bottom w:val="single" w:sz="4" w:space="0" w:color="auto"/>
              <w:right w:val="single" w:sz="4" w:space="0" w:color="auto"/>
            </w:tcBorders>
            <w:shd w:val="clear" w:color="auto" w:fill="auto"/>
            <w:noWrap/>
            <w:vAlign w:val="center"/>
          </w:tcPr>
          <w:p w14:paraId="40872CC9" w14:textId="3DD647AA" w:rsidR="00787D57" w:rsidRDefault="00787D57" w:rsidP="110985B9">
            <w:pPr>
              <w:spacing w:after="0" w:line="240" w:lineRule="auto"/>
              <w:jc w:val="right"/>
              <w:rPr>
                <w:rFonts w:cs="Arial"/>
                <w:color w:val="000000"/>
              </w:rPr>
            </w:pPr>
            <w:r w:rsidRPr="0082290B">
              <w:rPr>
                <w:rFonts w:cs="Arial"/>
                <w:color w:val="000000" w:themeColor="text1"/>
              </w:rPr>
              <w:t xml:space="preserve">11,358 </w:t>
            </w:r>
          </w:p>
        </w:tc>
        <w:tc>
          <w:tcPr>
            <w:tcW w:w="1276" w:type="dxa"/>
            <w:tcBorders>
              <w:top w:val="nil"/>
              <w:left w:val="nil"/>
              <w:bottom w:val="single" w:sz="4" w:space="0" w:color="auto"/>
              <w:right w:val="single" w:sz="4" w:space="0" w:color="auto"/>
            </w:tcBorders>
            <w:shd w:val="clear" w:color="auto" w:fill="auto"/>
            <w:noWrap/>
            <w:vAlign w:val="center"/>
          </w:tcPr>
          <w:p w14:paraId="116E8D46" w14:textId="5E4ACBBB" w:rsidR="00787D57" w:rsidRDefault="00787D57" w:rsidP="110985B9">
            <w:pPr>
              <w:spacing w:after="0"/>
              <w:jc w:val="right"/>
              <w:rPr>
                <w:rFonts w:cs="Arial"/>
                <w:color w:val="000000"/>
              </w:rPr>
            </w:pPr>
            <w:r w:rsidRPr="0082290B">
              <w:rPr>
                <w:rFonts w:cs="Arial"/>
                <w:color w:val="000000" w:themeColor="text1"/>
              </w:rPr>
              <w:t xml:space="preserve">14,974 </w:t>
            </w:r>
          </w:p>
        </w:tc>
        <w:tc>
          <w:tcPr>
            <w:tcW w:w="1275" w:type="dxa"/>
            <w:tcBorders>
              <w:top w:val="nil"/>
              <w:left w:val="nil"/>
              <w:bottom w:val="single" w:sz="4" w:space="0" w:color="auto"/>
              <w:right w:val="single" w:sz="4" w:space="0" w:color="auto"/>
            </w:tcBorders>
            <w:shd w:val="clear" w:color="auto" w:fill="auto"/>
            <w:noWrap/>
            <w:vAlign w:val="center"/>
          </w:tcPr>
          <w:p w14:paraId="5863404B" w14:textId="4A9AE932" w:rsidR="00787D57" w:rsidRDefault="00787D57" w:rsidP="110985B9">
            <w:pPr>
              <w:spacing w:after="0"/>
              <w:jc w:val="right"/>
              <w:rPr>
                <w:rFonts w:cs="Arial"/>
                <w:color w:val="000000"/>
              </w:rPr>
            </w:pPr>
            <w:r w:rsidRPr="0082290B">
              <w:rPr>
                <w:rFonts w:cs="Arial"/>
                <w:color w:val="000000" w:themeColor="text1"/>
              </w:rPr>
              <w:t xml:space="preserve">20,805 </w:t>
            </w:r>
          </w:p>
        </w:tc>
        <w:tc>
          <w:tcPr>
            <w:tcW w:w="1418" w:type="dxa"/>
            <w:tcBorders>
              <w:top w:val="nil"/>
              <w:left w:val="nil"/>
              <w:bottom w:val="single" w:sz="4" w:space="0" w:color="auto"/>
              <w:right w:val="single" w:sz="4" w:space="0" w:color="auto"/>
            </w:tcBorders>
            <w:shd w:val="clear" w:color="auto" w:fill="auto"/>
            <w:noWrap/>
            <w:vAlign w:val="center"/>
          </w:tcPr>
          <w:p w14:paraId="40417D55" w14:textId="7F0E0570" w:rsidR="00787D57" w:rsidRDefault="00787D57" w:rsidP="110985B9">
            <w:pPr>
              <w:spacing w:after="0"/>
              <w:jc w:val="right"/>
              <w:rPr>
                <w:rFonts w:cs="Arial"/>
                <w:color w:val="000000"/>
              </w:rPr>
            </w:pPr>
            <w:r w:rsidRPr="0082290B">
              <w:rPr>
                <w:rFonts w:cs="Arial"/>
                <w:color w:val="000000" w:themeColor="text1"/>
              </w:rPr>
              <w:t xml:space="preserve">9,447 </w:t>
            </w:r>
          </w:p>
        </w:tc>
        <w:tc>
          <w:tcPr>
            <w:tcW w:w="1477" w:type="dxa"/>
            <w:tcBorders>
              <w:top w:val="nil"/>
              <w:left w:val="nil"/>
              <w:bottom w:val="single" w:sz="4" w:space="0" w:color="auto"/>
              <w:right w:val="single" w:sz="4" w:space="0" w:color="auto"/>
            </w:tcBorders>
            <w:shd w:val="clear" w:color="auto" w:fill="auto"/>
            <w:noWrap/>
            <w:vAlign w:val="center"/>
          </w:tcPr>
          <w:p w14:paraId="32E3D0B6" w14:textId="43D6EDFB" w:rsidR="00787D57" w:rsidRDefault="00787D57" w:rsidP="110985B9">
            <w:pPr>
              <w:spacing w:after="0"/>
              <w:jc w:val="right"/>
              <w:rPr>
                <w:rFonts w:cs="Arial"/>
                <w:color w:val="000000"/>
              </w:rPr>
            </w:pPr>
            <w:r w:rsidRPr="0082290B">
              <w:rPr>
                <w:rFonts w:cs="Arial"/>
                <w:color w:val="000000" w:themeColor="text1"/>
              </w:rPr>
              <w:t>3.1%</w:t>
            </w:r>
          </w:p>
        </w:tc>
      </w:tr>
      <w:tr w:rsidR="00787D57" w:rsidRPr="00537E40" w14:paraId="3B88E6C2"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36601917" w14:textId="77777777" w:rsidR="00787D57" w:rsidRDefault="00787D57" w:rsidP="00787D57">
            <w:pPr>
              <w:spacing w:after="0"/>
              <w:rPr>
                <w:rFonts w:cs="Arial"/>
                <w:b/>
                <w:bCs/>
                <w:color w:val="000000"/>
                <w:szCs w:val="20"/>
              </w:rPr>
            </w:pPr>
            <w:r>
              <w:rPr>
                <w:rFonts w:cs="Arial"/>
                <w:b/>
                <w:bCs/>
                <w:color w:val="000000"/>
                <w:szCs w:val="20"/>
              </w:rPr>
              <w:t>Docklands</w:t>
            </w:r>
          </w:p>
        </w:tc>
        <w:tc>
          <w:tcPr>
            <w:tcW w:w="1187" w:type="dxa"/>
            <w:tcBorders>
              <w:top w:val="nil"/>
              <w:left w:val="nil"/>
              <w:bottom w:val="single" w:sz="4" w:space="0" w:color="auto"/>
              <w:right w:val="single" w:sz="4" w:space="0" w:color="auto"/>
            </w:tcBorders>
            <w:shd w:val="clear" w:color="auto" w:fill="auto"/>
            <w:noWrap/>
            <w:vAlign w:val="center"/>
          </w:tcPr>
          <w:p w14:paraId="3824DA3C" w14:textId="1A5BF88C" w:rsidR="00787D57" w:rsidRDefault="00787D57" w:rsidP="110985B9">
            <w:pPr>
              <w:spacing w:after="0" w:line="240" w:lineRule="auto"/>
              <w:jc w:val="right"/>
              <w:rPr>
                <w:rFonts w:cs="Arial"/>
                <w:color w:val="000000"/>
              </w:rPr>
            </w:pPr>
            <w:r w:rsidRPr="0082290B">
              <w:rPr>
                <w:rFonts w:cs="Arial"/>
                <w:color w:val="000000" w:themeColor="text1"/>
              </w:rPr>
              <w:t xml:space="preserve">8,581 </w:t>
            </w:r>
          </w:p>
        </w:tc>
        <w:tc>
          <w:tcPr>
            <w:tcW w:w="1276" w:type="dxa"/>
            <w:tcBorders>
              <w:top w:val="nil"/>
              <w:left w:val="nil"/>
              <w:bottom w:val="single" w:sz="4" w:space="0" w:color="auto"/>
              <w:right w:val="single" w:sz="4" w:space="0" w:color="auto"/>
            </w:tcBorders>
            <w:shd w:val="clear" w:color="auto" w:fill="auto"/>
            <w:noWrap/>
            <w:vAlign w:val="center"/>
          </w:tcPr>
          <w:p w14:paraId="3F81D49D" w14:textId="140195B3" w:rsidR="00787D57" w:rsidRDefault="00787D57" w:rsidP="110985B9">
            <w:pPr>
              <w:spacing w:after="0" w:line="240" w:lineRule="auto"/>
              <w:jc w:val="right"/>
              <w:rPr>
                <w:rFonts w:cs="Arial"/>
                <w:color w:val="000000"/>
              </w:rPr>
            </w:pPr>
            <w:r w:rsidRPr="0082290B">
              <w:rPr>
                <w:rFonts w:cs="Arial"/>
                <w:color w:val="000000" w:themeColor="text1"/>
              </w:rPr>
              <w:t xml:space="preserve">11,107 </w:t>
            </w:r>
          </w:p>
        </w:tc>
        <w:tc>
          <w:tcPr>
            <w:tcW w:w="1275" w:type="dxa"/>
            <w:tcBorders>
              <w:top w:val="nil"/>
              <w:left w:val="nil"/>
              <w:bottom w:val="single" w:sz="4" w:space="0" w:color="auto"/>
              <w:right w:val="single" w:sz="4" w:space="0" w:color="auto"/>
            </w:tcBorders>
            <w:shd w:val="clear" w:color="auto" w:fill="auto"/>
            <w:noWrap/>
            <w:vAlign w:val="center"/>
          </w:tcPr>
          <w:p w14:paraId="5BDC94E0" w14:textId="1FEC671B" w:rsidR="00787D57" w:rsidRDefault="00787D57" w:rsidP="110985B9">
            <w:pPr>
              <w:spacing w:after="0" w:line="240" w:lineRule="auto"/>
              <w:jc w:val="right"/>
              <w:rPr>
                <w:rFonts w:cs="Arial"/>
                <w:color w:val="000000"/>
              </w:rPr>
            </w:pPr>
            <w:r w:rsidRPr="0082290B">
              <w:rPr>
                <w:rFonts w:cs="Arial"/>
                <w:color w:val="000000" w:themeColor="text1"/>
              </w:rPr>
              <w:t xml:space="preserve">13,175 </w:t>
            </w:r>
          </w:p>
        </w:tc>
        <w:tc>
          <w:tcPr>
            <w:tcW w:w="1418" w:type="dxa"/>
            <w:tcBorders>
              <w:top w:val="nil"/>
              <w:left w:val="nil"/>
              <w:bottom w:val="single" w:sz="4" w:space="0" w:color="auto"/>
              <w:right w:val="single" w:sz="4" w:space="0" w:color="auto"/>
            </w:tcBorders>
            <w:shd w:val="clear" w:color="auto" w:fill="auto"/>
            <w:noWrap/>
            <w:vAlign w:val="center"/>
          </w:tcPr>
          <w:p w14:paraId="79337944" w14:textId="7CA9E611" w:rsidR="00787D57" w:rsidRDefault="00787D57" w:rsidP="110985B9">
            <w:pPr>
              <w:spacing w:after="0" w:line="240" w:lineRule="auto"/>
              <w:jc w:val="right"/>
              <w:rPr>
                <w:rFonts w:cs="Arial"/>
                <w:color w:val="000000"/>
              </w:rPr>
            </w:pPr>
            <w:r w:rsidRPr="0082290B">
              <w:rPr>
                <w:rFonts w:cs="Arial"/>
                <w:color w:val="000000" w:themeColor="text1"/>
              </w:rPr>
              <w:t xml:space="preserve">4,594 </w:t>
            </w:r>
          </w:p>
        </w:tc>
        <w:tc>
          <w:tcPr>
            <w:tcW w:w="1477" w:type="dxa"/>
            <w:tcBorders>
              <w:top w:val="nil"/>
              <w:left w:val="nil"/>
              <w:bottom w:val="single" w:sz="4" w:space="0" w:color="auto"/>
              <w:right w:val="single" w:sz="4" w:space="0" w:color="auto"/>
            </w:tcBorders>
            <w:shd w:val="clear" w:color="auto" w:fill="auto"/>
            <w:noWrap/>
            <w:vAlign w:val="center"/>
          </w:tcPr>
          <w:p w14:paraId="03FDBEF1" w14:textId="6FE71280" w:rsidR="00787D57" w:rsidRDefault="00787D57" w:rsidP="110985B9">
            <w:pPr>
              <w:spacing w:after="0" w:line="240" w:lineRule="auto"/>
              <w:jc w:val="right"/>
              <w:rPr>
                <w:rFonts w:cs="Arial"/>
                <w:color w:val="000000"/>
              </w:rPr>
            </w:pPr>
            <w:r w:rsidRPr="0082290B">
              <w:rPr>
                <w:rFonts w:cs="Arial"/>
                <w:color w:val="000000" w:themeColor="text1"/>
              </w:rPr>
              <w:t>2.2%</w:t>
            </w:r>
          </w:p>
        </w:tc>
      </w:tr>
      <w:tr w:rsidR="00787D57" w:rsidRPr="00537E40" w14:paraId="337A8358"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0A9931D6" w14:textId="77777777" w:rsidR="00787D57" w:rsidRDefault="00787D57" w:rsidP="00787D57">
            <w:pPr>
              <w:spacing w:after="0"/>
              <w:rPr>
                <w:rFonts w:cs="Arial"/>
                <w:b/>
                <w:bCs/>
                <w:color w:val="000000"/>
                <w:szCs w:val="20"/>
              </w:rPr>
            </w:pPr>
            <w:r>
              <w:rPr>
                <w:rFonts w:cs="Arial"/>
                <w:b/>
                <w:bCs/>
                <w:color w:val="000000"/>
                <w:szCs w:val="20"/>
              </w:rPr>
              <w:t>East Melbourne</w:t>
            </w:r>
          </w:p>
        </w:tc>
        <w:tc>
          <w:tcPr>
            <w:tcW w:w="1187" w:type="dxa"/>
            <w:tcBorders>
              <w:top w:val="nil"/>
              <w:left w:val="nil"/>
              <w:bottom w:val="single" w:sz="4" w:space="0" w:color="auto"/>
              <w:right w:val="single" w:sz="4" w:space="0" w:color="auto"/>
            </w:tcBorders>
            <w:shd w:val="clear" w:color="auto" w:fill="auto"/>
            <w:noWrap/>
            <w:vAlign w:val="center"/>
          </w:tcPr>
          <w:p w14:paraId="5FFA9FDA" w14:textId="0D69AC3F" w:rsidR="00787D57" w:rsidRDefault="00787D57" w:rsidP="110985B9">
            <w:pPr>
              <w:spacing w:after="0" w:line="240" w:lineRule="auto"/>
              <w:jc w:val="right"/>
              <w:rPr>
                <w:rFonts w:cs="Arial"/>
                <w:color w:val="000000"/>
              </w:rPr>
            </w:pPr>
            <w:r w:rsidRPr="0082290B">
              <w:rPr>
                <w:rFonts w:cs="Arial"/>
                <w:color w:val="000000" w:themeColor="text1"/>
              </w:rPr>
              <w:t xml:space="preserve">2,894 </w:t>
            </w:r>
          </w:p>
        </w:tc>
        <w:tc>
          <w:tcPr>
            <w:tcW w:w="1276" w:type="dxa"/>
            <w:tcBorders>
              <w:top w:val="nil"/>
              <w:left w:val="nil"/>
              <w:bottom w:val="single" w:sz="4" w:space="0" w:color="auto"/>
              <w:right w:val="single" w:sz="4" w:space="0" w:color="auto"/>
            </w:tcBorders>
            <w:shd w:val="clear" w:color="auto" w:fill="auto"/>
            <w:noWrap/>
            <w:vAlign w:val="center"/>
          </w:tcPr>
          <w:p w14:paraId="77723C3E" w14:textId="1226501B" w:rsidR="00787D57" w:rsidRDefault="00787D57" w:rsidP="110985B9">
            <w:pPr>
              <w:spacing w:after="0" w:line="240" w:lineRule="auto"/>
              <w:jc w:val="right"/>
              <w:rPr>
                <w:rFonts w:cs="Arial"/>
                <w:color w:val="000000"/>
              </w:rPr>
            </w:pPr>
            <w:r w:rsidRPr="0082290B">
              <w:rPr>
                <w:rFonts w:cs="Arial"/>
                <w:color w:val="000000" w:themeColor="text1"/>
              </w:rPr>
              <w:t xml:space="preserve">3,665 </w:t>
            </w:r>
          </w:p>
        </w:tc>
        <w:tc>
          <w:tcPr>
            <w:tcW w:w="1275" w:type="dxa"/>
            <w:tcBorders>
              <w:top w:val="nil"/>
              <w:left w:val="nil"/>
              <w:bottom w:val="single" w:sz="4" w:space="0" w:color="auto"/>
              <w:right w:val="single" w:sz="4" w:space="0" w:color="auto"/>
            </w:tcBorders>
            <w:shd w:val="clear" w:color="auto" w:fill="auto"/>
            <w:noWrap/>
            <w:vAlign w:val="center"/>
          </w:tcPr>
          <w:p w14:paraId="390273CD" w14:textId="20117688" w:rsidR="00787D57" w:rsidRDefault="00787D57" w:rsidP="110985B9">
            <w:pPr>
              <w:spacing w:after="0" w:line="240" w:lineRule="auto"/>
              <w:jc w:val="right"/>
              <w:rPr>
                <w:rFonts w:cs="Arial"/>
                <w:color w:val="000000"/>
              </w:rPr>
            </w:pPr>
            <w:r w:rsidRPr="0082290B">
              <w:rPr>
                <w:rFonts w:cs="Arial"/>
                <w:color w:val="000000" w:themeColor="text1"/>
              </w:rPr>
              <w:t xml:space="preserve">3,638 </w:t>
            </w:r>
          </w:p>
        </w:tc>
        <w:tc>
          <w:tcPr>
            <w:tcW w:w="1418" w:type="dxa"/>
            <w:tcBorders>
              <w:top w:val="nil"/>
              <w:left w:val="nil"/>
              <w:bottom w:val="single" w:sz="4" w:space="0" w:color="auto"/>
              <w:right w:val="single" w:sz="4" w:space="0" w:color="auto"/>
            </w:tcBorders>
            <w:shd w:val="clear" w:color="auto" w:fill="auto"/>
            <w:noWrap/>
            <w:vAlign w:val="center"/>
          </w:tcPr>
          <w:p w14:paraId="4F07AE7B" w14:textId="6EE60883" w:rsidR="00787D57" w:rsidRDefault="00787D57" w:rsidP="110985B9">
            <w:pPr>
              <w:spacing w:after="0" w:line="240" w:lineRule="auto"/>
              <w:jc w:val="right"/>
              <w:rPr>
                <w:rFonts w:cs="Arial"/>
                <w:color w:val="000000"/>
              </w:rPr>
            </w:pPr>
            <w:r w:rsidRPr="0082290B">
              <w:rPr>
                <w:rFonts w:cs="Arial"/>
                <w:color w:val="000000" w:themeColor="text1"/>
              </w:rPr>
              <w:t xml:space="preserve">744 </w:t>
            </w:r>
          </w:p>
        </w:tc>
        <w:tc>
          <w:tcPr>
            <w:tcW w:w="1477" w:type="dxa"/>
            <w:tcBorders>
              <w:top w:val="nil"/>
              <w:left w:val="nil"/>
              <w:bottom w:val="single" w:sz="4" w:space="0" w:color="auto"/>
              <w:right w:val="single" w:sz="4" w:space="0" w:color="auto"/>
            </w:tcBorders>
            <w:shd w:val="clear" w:color="auto" w:fill="auto"/>
            <w:noWrap/>
            <w:vAlign w:val="center"/>
          </w:tcPr>
          <w:p w14:paraId="56C2EE23" w14:textId="33EDFED8" w:rsidR="00787D57" w:rsidRDefault="00787D57" w:rsidP="110985B9">
            <w:pPr>
              <w:spacing w:after="0" w:line="240" w:lineRule="auto"/>
              <w:jc w:val="right"/>
              <w:rPr>
                <w:rFonts w:cs="Arial"/>
                <w:color w:val="000000"/>
              </w:rPr>
            </w:pPr>
            <w:r w:rsidRPr="0082290B">
              <w:rPr>
                <w:rFonts w:cs="Arial"/>
                <w:color w:val="000000" w:themeColor="text1"/>
              </w:rPr>
              <w:t>1.2%</w:t>
            </w:r>
          </w:p>
        </w:tc>
      </w:tr>
      <w:tr w:rsidR="00787D57" w:rsidRPr="00537E40" w14:paraId="47516780"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7F59D7D7" w14:textId="77777777" w:rsidR="00787D57" w:rsidRDefault="00787D57" w:rsidP="00787D57">
            <w:pPr>
              <w:spacing w:after="0"/>
              <w:rPr>
                <w:rFonts w:cs="Arial"/>
                <w:b/>
                <w:bCs/>
                <w:color w:val="000000"/>
                <w:szCs w:val="20"/>
              </w:rPr>
            </w:pPr>
            <w:r>
              <w:rPr>
                <w:rFonts w:cs="Arial"/>
                <w:b/>
                <w:bCs/>
                <w:color w:val="000000"/>
                <w:szCs w:val="20"/>
              </w:rPr>
              <w:t>Kensington</w:t>
            </w:r>
          </w:p>
        </w:tc>
        <w:tc>
          <w:tcPr>
            <w:tcW w:w="1187" w:type="dxa"/>
            <w:tcBorders>
              <w:top w:val="nil"/>
              <w:left w:val="nil"/>
              <w:bottom w:val="single" w:sz="4" w:space="0" w:color="auto"/>
              <w:right w:val="single" w:sz="4" w:space="0" w:color="auto"/>
            </w:tcBorders>
            <w:shd w:val="clear" w:color="auto" w:fill="auto"/>
            <w:noWrap/>
            <w:vAlign w:val="center"/>
          </w:tcPr>
          <w:p w14:paraId="66B87719" w14:textId="4CF736FF" w:rsidR="00787D57" w:rsidRDefault="00787D57" w:rsidP="110985B9">
            <w:pPr>
              <w:spacing w:after="0" w:line="240" w:lineRule="auto"/>
              <w:jc w:val="right"/>
              <w:rPr>
                <w:rFonts w:cs="Arial"/>
                <w:color w:val="000000"/>
              </w:rPr>
            </w:pPr>
            <w:r w:rsidRPr="0082290B">
              <w:rPr>
                <w:rFonts w:cs="Arial"/>
                <w:color w:val="000000" w:themeColor="text1"/>
              </w:rPr>
              <w:t xml:space="preserve">5,067 </w:t>
            </w:r>
          </w:p>
        </w:tc>
        <w:tc>
          <w:tcPr>
            <w:tcW w:w="1276" w:type="dxa"/>
            <w:tcBorders>
              <w:top w:val="nil"/>
              <w:left w:val="nil"/>
              <w:bottom w:val="single" w:sz="4" w:space="0" w:color="auto"/>
              <w:right w:val="single" w:sz="4" w:space="0" w:color="auto"/>
            </w:tcBorders>
            <w:shd w:val="clear" w:color="auto" w:fill="auto"/>
            <w:noWrap/>
            <w:vAlign w:val="center"/>
          </w:tcPr>
          <w:p w14:paraId="088C72AE" w14:textId="5B315CB2" w:rsidR="00787D57" w:rsidRDefault="00787D57" w:rsidP="110985B9">
            <w:pPr>
              <w:spacing w:after="0" w:line="240" w:lineRule="auto"/>
              <w:jc w:val="right"/>
              <w:rPr>
                <w:rFonts w:cs="Arial"/>
                <w:color w:val="000000"/>
              </w:rPr>
            </w:pPr>
            <w:r w:rsidRPr="0082290B">
              <w:rPr>
                <w:rFonts w:cs="Arial"/>
                <w:color w:val="000000" w:themeColor="text1"/>
              </w:rPr>
              <w:t xml:space="preserve">6,137 </w:t>
            </w:r>
          </w:p>
        </w:tc>
        <w:tc>
          <w:tcPr>
            <w:tcW w:w="1275" w:type="dxa"/>
            <w:tcBorders>
              <w:top w:val="nil"/>
              <w:left w:val="nil"/>
              <w:bottom w:val="single" w:sz="4" w:space="0" w:color="auto"/>
              <w:right w:val="single" w:sz="4" w:space="0" w:color="auto"/>
            </w:tcBorders>
            <w:shd w:val="clear" w:color="auto" w:fill="auto"/>
            <w:noWrap/>
            <w:vAlign w:val="center"/>
          </w:tcPr>
          <w:p w14:paraId="7FD32BB4" w14:textId="29978E1C" w:rsidR="00787D57" w:rsidRDefault="00787D57" w:rsidP="110985B9">
            <w:pPr>
              <w:spacing w:after="0" w:line="240" w:lineRule="auto"/>
              <w:jc w:val="right"/>
              <w:rPr>
                <w:rFonts w:cs="Arial"/>
                <w:color w:val="000000"/>
              </w:rPr>
            </w:pPr>
            <w:r w:rsidRPr="0082290B">
              <w:rPr>
                <w:rFonts w:cs="Arial"/>
                <w:color w:val="000000" w:themeColor="text1"/>
              </w:rPr>
              <w:t xml:space="preserve">6,935 </w:t>
            </w:r>
          </w:p>
        </w:tc>
        <w:tc>
          <w:tcPr>
            <w:tcW w:w="1418" w:type="dxa"/>
            <w:tcBorders>
              <w:top w:val="nil"/>
              <w:left w:val="nil"/>
              <w:bottom w:val="single" w:sz="4" w:space="0" w:color="auto"/>
              <w:right w:val="single" w:sz="4" w:space="0" w:color="auto"/>
            </w:tcBorders>
            <w:shd w:val="clear" w:color="auto" w:fill="auto"/>
            <w:noWrap/>
            <w:vAlign w:val="center"/>
          </w:tcPr>
          <w:p w14:paraId="64E5F5BB" w14:textId="48F782C7" w:rsidR="00787D57" w:rsidRDefault="00787D57" w:rsidP="110985B9">
            <w:pPr>
              <w:spacing w:after="0" w:line="240" w:lineRule="auto"/>
              <w:jc w:val="right"/>
              <w:rPr>
                <w:rFonts w:cs="Arial"/>
                <w:color w:val="000000"/>
              </w:rPr>
            </w:pPr>
            <w:r w:rsidRPr="0082290B">
              <w:rPr>
                <w:rFonts w:cs="Arial"/>
                <w:color w:val="000000" w:themeColor="text1"/>
              </w:rPr>
              <w:t xml:space="preserve">1,868 </w:t>
            </w:r>
          </w:p>
        </w:tc>
        <w:tc>
          <w:tcPr>
            <w:tcW w:w="1477" w:type="dxa"/>
            <w:tcBorders>
              <w:top w:val="nil"/>
              <w:left w:val="nil"/>
              <w:bottom w:val="single" w:sz="4" w:space="0" w:color="auto"/>
              <w:right w:val="single" w:sz="4" w:space="0" w:color="auto"/>
            </w:tcBorders>
            <w:shd w:val="clear" w:color="auto" w:fill="auto"/>
            <w:noWrap/>
            <w:vAlign w:val="center"/>
          </w:tcPr>
          <w:p w14:paraId="3A38DD74" w14:textId="3DBD3546" w:rsidR="00787D57" w:rsidRDefault="00787D57" w:rsidP="110985B9">
            <w:pPr>
              <w:spacing w:after="0" w:line="240" w:lineRule="auto"/>
              <w:jc w:val="right"/>
              <w:rPr>
                <w:rFonts w:cs="Arial"/>
                <w:color w:val="000000"/>
              </w:rPr>
            </w:pPr>
            <w:r w:rsidRPr="0082290B">
              <w:rPr>
                <w:rFonts w:cs="Arial"/>
                <w:color w:val="000000" w:themeColor="text1"/>
              </w:rPr>
              <w:t>1.6%</w:t>
            </w:r>
          </w:p>
        </w:tc>
      </w:tr>
      <w:tr w:rsidR="00787D57" w:rsidRPr="00537E40" w14:paraId="45404DC1"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36F85F6F" w14:textId="77777777" w:rsidR="00787D57" w:rsidRDefault="00787D57" w:rsidP="00787D57">
            <w:pPr>
              <w:spacing w:after="0"/>
              <w:rPr>
                <w:rFonts w:cs="Arial"/>
                <w:b/>
                <w:bCs/>
                <w:color w:val="000000"/>
                <w:szCs w:val="20"/>
              </w:rPr>
            </w:pPr>
            <w:r>
              <w:rPr>
                <w:rFonts w:cs="Arial"/>
                <w:b/>
                <w:bCs/>
                <w:color w:val="000000"/>
                <w:szCs w:val="20"/>
              </w:rPr>
              <w:t>Melbourne (CBD)</w:t>
            </w:r>
          </w:p>
        </w:tc>
        <w:tc>
          <w:tcPr>
            <w:tcW w:w="1187" w:type="dxa"/>
            <w:tcBorders>
              <w:top w:val="nil"/>
              <w:left w:val="nil"/>
              <w:bottom w:val="single" w:sz="4" w:space="0" w:color="auto"/>
              <w:right w:val="single" w:sz="4" w:space="0" w:color="auto"/>
            </w:tcBorders>
            <w:shd w:val="clear" w:color="auto" w:fill="auto"/>
            <w:noWrap/>
            <w:vAlign w:val="center"/>
          </w:tcPr>
          <w:p w14:paraId="3BD19C4A" w14:textId="5833CD4B" w:rsidR="00787D57" w:rsidRDefault="00787D57" w:rsidP="110985B9">
            <w:pPr>
              <w:spacing w:after="0" w:line="240" w:lineRule="auto"/>
              <w:jc w:val="right"/>
              <w:rPr>
                <w:rFonts w:cs="Arial"/>
                <w:color w:val="000000"/>
              </w:rPr>
            </w:pPr>
            <w:r w:rsidRPr="0082290B">
              <w:rPr>
                <w:rFonts w:cs="Arial"/>
                <w:color w:val="000000" w:themeColor="text1"/>
              </w:rPr>
              <w:t xml:space="preserve">26,766 </w:t>
            </w:r>
          </w:p>
        </w:tc>
        <w:tc>
          <w:tcPr>
            <w:tcW w:w="1276" w:type="dxa"/>
            <w:tcBorders>
              <w:top w:val="nil"/>
              <w:left w:val="nil"/>
              <w:bottom w:val="single" w:sz="4" w:space="0" w:color="auto"/>
              <w:right w:val="single" w:sz="4" w:space="0" w:color="auto"/>
            </w:tcBorders>
            <w:shd w:val="clear" w:color="auto" w:fill="auto"/>
            <w:noWrap/>
            <w:vAlign w:val="center"/>
          </w:tcPr>
          <w:p w14:paraId="16254D04" w14:textId="20D0CD60" w:rsidR="00787D57" w:rsidRDefault="00787D57" w:rsidP="110985B9">
            <w:pPr>
              <w:spacing w:after="0" w:line="240" w:lineRule="auto"/>
              <w:jc w:val="right"/>
              <w:rPr>
                <w:rFonts w:cs="Arial"/>
                <w:color w:val="000000"/>
              </w:rPr>
            </w:pPr>
            <w:r w:rsidRPr="0082290B">
              <w:rPr>
                <w:rFonts w:cs="Arial"/>
                <w:color w:val="000000" w:themeColor="text1"/>
              </w:rPr>
              <w:t xml:space="preserve">35,785 </w:t>
            </w:r>
          </w:p>
        </w:tc>
        <w:tc>
          <w:tcPr>
            <w:tcW w:w="1275" w:type="dxa"/>
            <w:tcBorders>
              <w:top w:val="nil"/>
              <w:left w:val="nil"/>
              <w:bottom w:val="single" w:sz="4" w:space="0" w:color="auto"/>
              <w:right w:val="single" w:sz="4" w:space="0" w:color="auto"/>
            </w:tcBorders>
            <w:shd w:val="clear" w:color="auto" w:fill="auto"/>
            <w:noWrap/>
            <w:vAlign w:val="center"/>
          </w:tcPr>
          <w:p w14:paraId="619EC5D9" w14:textId="4A45B8C8" w:rsidR="00787D57" w:rsidRDefault="00787D57" w:rsidP="110985B9">
            <w:pPr>
              <w:spacing w:after="0" w:line="240" w:lineRule="auto"/>
              <w:jc w:val="right"/>
              <w:rPr>
                <w:rFonts w:cs="Arial"/>
                <w:color w:val="000000"/>
              </w:rPr>
            </w:pPr>
            <w:r w:rsidRPr="0082290B">
              <w:rPr>
                <w:rFonts w:cs="Arial"/>
                <w:color w:val="000000" w:themeColor="text1"/>
              </w:rPr>
              <w:t xml:space="preserve">42,219 </w:t>
            </w:r>
          </w:p>
        </w:tc>
        <w:tc>
          <w:tcPr>
            <w:tcW w:w="1418" w:type="dxa"/>
            <w:tcBorders>
              <w:top w:val="nil"/>
              <w:left w:val="nil"/>
              <w:bottom w:val="single" w:sz="4" w:space="0" w:color="auto"/>
              <w:right w:val="single" w:sz="4" w:space="0" w:color="auto"/>
            </w:tcBorders>
            <w:shd w:val="clear" w:color="auto" w:fill="auto"/>
            <w:noWrap/>
            <w:vAlign w:val="center"/>
          </w:tcPr>
          <w:p w14:paraId="18097469" w14:textId="24703C99" w:rsidR="00787D57" w:rsidRDefault="00787D57" w:rsidP="110985B9">
            <w:pPr>
              <w:spacing w:after="0" w:line="240" w:lineRule="auto"/>
              <w:jc w:val="right"/>
              <w:rPr>
                <w:rFonts w:cs="Arial"/>
                <w:color w:val="000000"/>
              </w:rPr>
            </w:pPr>
            <w:r w:rsidRPr="0082290B">
              <w:rPr>
                <w:rFonts w:cs="Arial"/>
                <w:color w:val="000000" w:themeColor="text1"/>
              </w:rPr>
              <w:t xml:space="preserve">15,453 </w:t>
            </w:r>
          </w:p>
        </w:tc>
        <w:tc>
          <w:tcPr>
            <w:tcW w:w="1477" w:type="dxa"/>
            <w:tcBorders>
              <w:top w:val="nil"/>
              <w:left w:val="nil"/>
              <w:bottom w:val="single" w:sz="4" w:space="0" w:color="auto"/>
              <w:right w:val="single" w:sz="4" w:space="0" w:color="auto"/>
            </w:tcBorders>
            <w:shd w:val="clear" w:color="auto" w:fill="auto"/>
            <w:noWrap/>
            <w:vAlign w:val="center"/>
          </w:tcPr>
          <w:p w14:paraId="58F29F9A" w14:textId="5A5F8DD8" w:rsidR="00787D57" w:rsidRDefault="00787D57" w:rsidP="110985B9">
            <w:pPr>
              <w:spacing w:after="0" w:line="240" w:lineRule="auto"/>
              <w:jc w:val="right"/>
              <w:rPr>
                <w:rFonts w:cs="Arial"/>
                <w:color w:val="000000"/>
              </w:rPr>
            </w:pPr>
            <w:r w:rsidRPr="0082290B">
              <w:rPr>
                <w:rFonts w:cs="Arial"/>
                <w:color w:val="000000" w:themeColor="text1"/>
              </w:rPr>
              <w:t>2.3%</w:t>
            </w:r>
          </w:p>
        </w:tc>
      </w:tr>
      <w:tr w:rsidR="00787D57" w:rsidRPr="00537E40" w14:paraId="57D759E2"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17B9FECA" w14:textId="77777777" w:rsidR="00787D57" w:rsidRDefault="00787D57" w:rsidP="00787D57">
            <w:pPr>
              <w:spacing w:after="0"/>
              <w:rPr>
                <w:rFonts w:cs="Arial"/>
                <w:b/>
                <w:bCs/>
                <w:color w:val="000000"/>
                <w:szCs w:val="20"/>
              </w:rPr>
            </w:pPr>
            <w:r>
              <w:rPr>
                <w:rFonts w:cs="Arial"/>
                <w:b/>
                <w:bCs/>
                <w:color w:val="000000"/>
                <w:szCs w:val="20"/>
              </w:rPr>
              <w:t>Melbourne (Remainder)</w:t>
            </w:r>
          </w:p>
        </w:tc>
        <w:tc>
          <w:tcPr>
            <w:tcW w:w="1187" w:type="dxa"/>
            <w:tcBorders>
              <w:top w:val="nil"/>
              <w:left w:val="nil"/>
              <w:bottom w:val="single" w:sz="4" w:space="0" w:color="auto"/>
              <w:right w:val="single" w:sz="4" w:space="0" w:color="auto"/>
            </w:tcBorders>
            <w:shd w:val="clear" w:color="auto" w:fill="auto"/>
            <w:noWrap/>
            <w:vAlign w:val="center"/>
          </w:tcPr>
          <w:p w14:paraId="41434A66" w14:textId="5C52FA0F" w:rsidR="00787D57" w:rsidRDefault="00787D57" w:rsidP="110985B9">
            <w:pPr>
              <w:spacing w:after="0" w:line="240" w:lineRule="auto"/>
              <w:jc w:val="right"/>
              <w:rPr>
                <w:rFonts w:cs="Arial"/>
                <w:color w:val="000000"/>
              </w:rPr>
            </w:pPr>
            <w:r w:rsidRPr="0082290B">
              <w:rPr>
                <w:rFonts w:cs="Arial"/>
                <w:color w:val="000000" w:themeColor="text1"/>
              </w:rPr>
              <w:t xml:space="preserve">1,317 </w:t>
            </w:r>
          </w:p>
        </w:tc>
        <w:tc>
          <w:tcPr>
            <w:tcW w:w="1276" w:type="dxa"/>
            <w:tcBorders>
              <w:top w:val="nil"/>
              <w:left w:val="nil"/>
              <w:bottom w:val="single" w:sz="4" w:space="0" w:color="auto"/>
              <w:right w:val="single" w:sz="4" w:space="0" w:color="auto"/>
            </w:tcBorders>
            <w:shd w:val="clear" w:color="auto" w:fill="auto"/>
            <w:noWrap/>
            <w:vAlign w:val="center"/>
          </w:tcPr>
          <w:p w14:paraId="668409CE" w14:textId="0B741A64" w:rsidR="00787D57" w:rsidRDefault="00787D57" w:rsidP="110985B9">
            <w:pPr>
              <w:spacing w:after="0" w:line="240" w:lineRule="auto"/>
              <w:jc w:val="right"/>
              <w:rPr>
                <w:rFonts w:cs="Arial"/>
                <w:color w:val="000000"/>
              </w:rPr>
            </w:pPr>
            <w:r w:rsidRPr="0082290B">
              <w:rPr>
                <w:rFonts w:cs="Arial"/>
                <w:color w:val="000000" w:themeColor="text1"/>
              </w:rPr>
              <w:t xml:space="preserve">1,541 </w:t>
            </w:r>
          </w:p>
        </w:tc>
        <w:tc>
          <w:tcPr>
            <w:tcW w:w="1275" w:type="dxa"/>
            <w:tcBorders>
              <w:top w:val="nil"/>
              <w:left w:val="nil"/>
              <w:bottom w:val="single" w:sz="4" w:space="0" w:color="auto"/>
              <w:right w:val="single" w:sz="4" w:space="0" w:color="auto"/>
            </w:tcBorders>
            <w:shd w:val="clear" w:color="auto" w:fill="auto"/>
            <w:noWrap/>
            <w:vAlign w:val="center"/>
          </w:tcPr>
          <w:p w14:paraId="5B5628BA" w14:textId="194FBC4C" w:rsidR="00787D57" w:rsidRDefault="00787D57" w:rsidP="110985B9">
            <w:pPr>
              <w:spacing w:after="0" w:line="240" w:lineRule="auto"/>
              <w:jc w:val="right"/>
              <w:rPr>
                <w:rFonts w:cs="Arial"/>
                <w:color w:val="000000"/>
              </w:rPr>
            </w:pPr>
            <w:r w:rsidRPr="0082290B">
              <w:rPr>
                <w:rFonts w:cs="Arial"/>
                <w:color w:val="000000" w:themeColor="text1"/>
              </w:rPr>
              <w:t xml:space="preserve">1,528 </w:t>
            </w:r>
          </w:p>
        </w:tc>
        <w:tc>
          <w:tcPr>
            <w:tcW w:w="1418" w:type="dxa"/>
            <w:tcBorders>
              <w:top w:val="nil"/>
              <w:left w:val="nil"/>
              <w:bottom w:val="single" w:sz="4" w:space="0" w:color="auto"/>
              <w:right w:val="single" w:sz="4" w:space="0" w:color="auto"/>
            </w:tcBorders>
            <w:shd w:val="clear" w:color="auto" w:fill="auto"/>
            <w:noWrap/>
            <w:vAlign w:val="center"/>
          </w:tcPr>
          <w:p w14:paraId="1DD09F7C" w14:textId="2F9C8CCE" w:rsidR="00787D57" w:rsidRDefault="00787D57" w:rsidP="110985B9">
            <w:pPr>
              <w:spacing w:after="0" w:line="240" w:lineRule="auto"/>
              <w:jc w:val="right"/>
              <w:rPr>
                <w:rFonts w:cs="Arial"/>
                <w:color w:val="000000"/>
              </w:rPr>
            </w:pPr>
            <w:r w:rsidRPr="0082290B">
              <w:rPr>
                <w:rFonts w:cs="Arial"/>
                <w:color w:val="000000" w:themeColor="text1"/>
              </w:rPr>
              <w:t xml:space="preserve">211 </w:t>
            </w:r>
          </w:p>
        </w:tc>
        <w:tc>
          <w:tcPr>
            <w:tcW w:w="1477" w:type="dxa"/>
            <w:tcBorders>
              <w:top w:val="nil"/>
              <w:left w:val="nil"/>
              <w:bottom w:val="single" w:sz="4" w:space="0" w:color="auto"/>
              <w:right w:val="single" w:sz="4" w:space="0" w:color="auto"/>
            </w:tcBorders>
            <w:shd w:val="clear" w:color="auto" w:fill="auto"/>
            <w:noWrap/>
            <w:vAlign w:val="center"/>
          </w:tcPr>
          <w:p w14:paraId="3FD270E4" w14:textId="1F7161F2" w:rsidR="00787D57" w:rsidRDefault="00787D57" w:rsidP="110985B9">
            <w:pPr>
              <w:spacing w:after="0" w:line="240" w:lineRule="auto"/>
              <w:jc w:val="right"/>
              <w:rPr>
                <w:rFonts w:cs="Arial"/>
                <w:color w:val="000000"/>
              </w:rPr>
            </w:pPr>
            <w:r w:rsidRPr="0082290B">
              <w:rPr>
                <w:rFonts w:cs="Arial"/>
                <w:color w:val="000000" w:themeColor="text1"/>
              </w:rPr>
              <w:t>0.7%</w:t>
            </w:r>
          </w:p>
        </w:tc>
      </w:tr>
      <w:tr w:rsidR="00787D57" w:rsidRPr="00537E40" w14:paraId="2B4BCDF9"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008069F8" w14:textId="77777777" w:rsidR="00787D57" w:rsidRDefault="00787D57" w:rsidP="00787D57">
            <w:pPr>
              <w:spacing w:after="0"/>
              <w:rPr>
                <w:rFonts w:cs="Arial"/>
                <w:b/>
                <w:bCs/>
                <w:color w:val="000000"/>
                <w:szCs w:val="20"/>
              </w:rPr>
            </w:pPr>
            <w:r>
              <w:rPr>
                <w:rFonts w:cs="Arial"/>
                <w:b/>
                <w:bCs/>
                <w:color w:val="000000"/>
                <w:szCs w:val="20"/>
              </w:rPr>
              <w:t>North Melbourne</w:t>
            </w:r>
          </w:p>
        </w:tc>
        <w:tc>
          <w:tcPr>
            <w:tcW w:w="1187" w:type="dxa"/>
            <w:tcBorders>
              <w:top w:val="nil"/>
              <w:left w:val="nil"/>
              <w:bottom w:val="single" w:sz="4" w:space="0" w:color="auto"/>
              <w:right w:val="single" w:sz="4" w:space="0" w:color="auto"/>
            </w:tcBorders>
            <w:shd w:val="clear" w:color="auto" w:fill="auto"/>
            <w:noWrap/>
            <w:vAlign w:val="center"/>
          </w:tcPr>
          <w:p w14:paraId="0E4A4101" w14:textId="132E2410" w:rsidR="00787D57" w:rsidRDefault="00787D57" w:rsidP="110985B9">
            <w:pPr>
              <w:spacing w:after="0" w:line="240" w:lineRule="auto"/>
              <w:jc w:val="right"/>
              <w:rPr>
                <w:rFonts w:cs="Arial"/>
                <w:color w:val="000000"/>
              </w:rPr>
            </w:pPr>
            <w:r w:rsidRPr="0082290B">
              <w:rPr>
                <w:rFonts w:cs="Arial"/>
                <w:color w:val="000000" w:themeColor="text1"/>
              </w:rPr>
              <w:t xml:space="preserve">8,121 </w:t>
            </w:r>
          </w:p>
        </w:tc>
        <w:tc>
          <w:tcPr>
            <w:tcW w:w="1276" w:type="dxa"/>
            <w:tcBorders>
              <w:top w:val="nil"/>
              <w:left w:val="nil"/>
              <w:bottom w:val="single" w:sz="4" w:space="0" w:color="auto"/>
              <w:right w:val="single" w:sz="4" w:space="0" w:color="auto"/>
            </w:tcBorders>
            <w:shd w:val="clear" w:color="auto" w:fill="auto"/>
            <w:noWrap/>
            <w:vAlign w:val="center"/>
          </w:tcPr>
          <w:p w14:paraId="4A697BC3" w14:textId="0A258F75" w:rsidR="00787D57" w:rsidRDefault="00787D57" w:rsidP="110985B9">
            <w:pPr>
              <w:spacing w:after="0" w:line="240" w:lineRule="auto"/>
              <w:jc w:val="right"/>
              <w:rPr>
                <w:rFonts w:cs="Arial"/>
                <w:color w:val="000000"/>
              </w:rPr>
            </w:pPr>
            <w:r w:rsidRPr="0082290B">
              <w:rPr>
                <w:rFonts w:cs="Arial"/>
                <w:color w:val="000000" w:themeColor="text1"/>
              </w:rPr>
              <w:t xml:space="preserve">11,004 </w:t>
            </w:r>
          </w:p>
        </w:tc>
        <w:tc>
          <w:tcPr>
            <w:tcW w:w="1275" w:type="dxa"/>
            <w:tcBorders>
              <w:top w:val="nil"/>
              <w:left w:val="nil"/>
              <w:bottom w:val="single" w:sz="4" w:space="0" w:color="auto"/>
              <w:right w:val="single" w:sz="4" w:space="0" w:color="auto"/>
            </w:tcBorders>
            <w:shd w:val="clear" w:color="auto" w:fill="auto"/>
            <w:noWrap/>
            <w:vAlign w:val="center"/>
          </w:tcPr>
          <w:p w14:paraId="18CC8D1E" w14:textId="3C72E210" w:rsidR="00787D57" w:rsidRDefault="00787D57" w:rsidP="110985B9">
            <w:pPr>
              <w:spacing w:after="0" w:line="240" w:lineRule="auto"/>
              <w:jc w:val="right"/>
              <w:rPr>
                <w:rFonts w:cs="Arial"/>
                <w:color w:val="000000"/>
              </w:rPr>
            </w:pPr>
            <w:r w:rsidRPr="0082290B">
              <w:rPr>
                <w:rFonts w:cs="Arial"/>
                <w:color w:val="000000" w:themeColor="text1"/>
              </w:rPr>
              <w:t xml:space="preserve">15,446 </w:t>
            </w:r>
          </w:p>
        </w:tc>
        <w:tc>
          <w:tcPr>
            <w:tcW w:w="1418" w:type="dxa"/>
            <w:tcBorders>
              <w:top w:val="nil"/>
              <w:left w:val="nil"/>
              <w:bottom w:val="single" w:sz="4" w:space="0" w:color="auto"/>
              <w:right w:val="single" w:sz="4" w:space="0" w:color="auto"/>
            </w:tcBorders>
            <w:shd w:val="clear" w:color="auto" w:fill="auto"/>
            <w:noWrap/>
            <w:vAlign w:val="center"/>
          </w:tcPr>
          <w:p w14:paraId="4CCDD9CF" w14:textId="2BCF7964" w:rsidR="00787D57" w:rsidRDefault="00787D57" w:rsidP="110985B9">
            <w:pPr>
              <w:spacing w:after="0" w:line="240" w:lineRule="auto"/>
              <w:jc w:val="right"/>
              <w:rPr>
                <w:rFonts w:cs="Arial"/>
                <w:color w:val="000000"/>
              </w:rPr>
            </w:pPr>
            <w:r w:rsidRPr="0082290B">
              <w:rPr>
                <w:rFonts w:cs="Arial"/>
                <w:color w:val="000000" w:themeColor="text1"/>
              </w:rPr>
              <w:t xml:space="preserve">7,325 </w:t>
            </w:r>
          </w:p>
        </w:tc>
        <w:tc>
          <w:tcPr>
            <w:tcW w:w="1477" w:type="dxa"/>
            <w:tcBorders>
              <w:top w:val="nil"/>
              <w:left w:val="nil"/>
              <w:bottom w:val="single" w:sz="4" w:space="0" w:color="auto"/>
              <w:right w:val="single" w:sz="4" w:space="0" w:color="auto"/>
            </w:tcBorders>
            <w:shd w:val="clear" w:color="auto" w:fill="auto"/>
            <w:noWrap/>
            <w:vAlign w:val="center"/>
          </w:tcPr>
          <w:p w14:paraId="685687CD" w14:textId="603BBE16" w:rsidR="00787D57" w:rsidRDefault="00787D57" w:rsidP="110985B9">
            <w:pPr>
              <w:spacing w:after="0" w:line="240" w:lineRule="auto"/>
              <w:jc w:val="right"/>
              <w:rPr>
                <w:rFonts w:cs="Arial"/>
                <w:color w:val="000000"/>
              </w:rPr>
            </w:pPr>
            <w:r w:rsidRPr="0082290B">
              <w:rPr>
                <w:rFonts w:cs="Arial"/>
                <w:color w:val="000000" w:themeColor="text1"/>
              </w:rPr>
              <w:t>3.3%</w:t>
            </w:r>
          </w:p>
        </w:tc>
      </w:tr>
      <w:tr w:rsidR="00787D57" w:rsidRPr="00537E40" w14:paraId="6FC7E46D"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35E41DF2" w14:textId="77777777" w:rsidR="00787D57" w:rsidRDefault="00787D57" w:rsidP="00787D57">
            <w:pPr>
              <w:spacing w:after="0"/>
              <w:rPr>
                <w:rFonts w:cs="Arial"/>
                <w:b/>
                <w:bCs/>
                <w:color w:val="000000"/>
                <w:szCs w:val="20"/>
              </w:rPr>
            </w:pPr>
            <w:r>
              <w:rPr>
                <w:rFonts w:cs="Arial"/>
                <w:b/>
                <w:bCs/>
                <w:color w:val="000000"/>
                <w:szCs w:val="20"/>
              </w:rPr>
              <w:t>Parkville</w:t>
            </w:r>
          </w:p>
        </w:tc>
        <w:tc>
          <w:tcPr>
            <w:tcW w:w="1187" w:type="dxa"/>
            <w:tcBorders>
              <w:top w:val="nil"/>
              <w:left w:val="nil"/>
              <w:bottom w:val="single" w:sz="4" w:space="0" w:color="auto"/>
              <w:right w:val="single" w:sz="4" w:space="0" w:color="auto"/>
            </w:tcBorders>
            <w:shd w:val="clear" w:color="auto" w:fill="auto"/>
            <w:noWrap/>
            <w:vAlign w:val="center"/>
          </w:tcPr>
          <w:p w14:paraId="27564AE6" w14:textId="1B70F991" w:rsidR="00787D57" w:rsidRDefault="00787D57" w:rsidP="110985B9">
            <w:pPr>
              <w:spacing w:after="0" w:line="240" w:lineRule="auto"/>
              <w:jc w:val="right"/>
              <w:rPr>
                <w:rFonts w:cs="Arial"/>
                <w:color w:val="000000"/>
              </w:rPr>
            </w:pPr>
            <w:r w:rsidRPr="0082290B">
              <w:rPr>
                <w:rFonts w:cs="Arial"/>
                <w:color w:val="000000" w:themeColor="text1"/>
              </w:rPr>
              <w:t xml:space="preserve">2,604 </w:t>
            </w:r>
          </w:p>
        </w:tc>
        <w:tc>
          <w:tcPr>
            <w:tcW w:w="1276" w:type="dxa"/>
            <w:tcBorders>
              <w:top w:val="nil"/>
              <w:left w:val="nil"/>
              <w:bottom w:val="single" w:sz="4" w:space="0" w:color="auto"/>
              <w:right w:val="single" w:sz="4" w:space="0" w:color="auto"/>
            </w:tcBorders>
            <w:shd w:val="clear" w:color="auto" w:fill="auto"/>
            <w:noWrap/>
            <w:vAlign w:val="center"/>
          </w:tcPr>
          <w:p w14:paraId="16353103" w14:textId="21A84532" w:rsidR="00787D57" w:rsidRDefault="00787D57" w:rsidP="110985B9">
            <w:pPr>
              <w:spacing w:after="0" w:line="240" w:lineRule="auto"/>
              <w:jc w:val="right"/>
              <w:rPr>
                <w:rFonts w:cs="Arial"/>
                <w:color w:val="000000"/>
              </w:rPr>
            </w:pPr>
            <w:r w:rsidRPr="0082290B">
              <w:rPr>
                <w:rFonts w:cs="Arial"/>
                <w:color w:val="000000" w:themeColor="text1"/>
              </w:rPr>
              <w:t xml:space="preserve">2,922 </w:t>
            </w:r>
          </w:p>
        </w:tc>
        <w:tc>
          <w:tcPr>
            <w:tcW w:w="1275" w:type="dxa"/>
            <w:tcBorders>
              <w:top w:val="nil"/>
              <w:left w:val="nil"/>
              <w:bottom w:val="single" w:sz="4" w:space="0" w:color="auto"/>
              <w:right w:val="single" w:sz="4" w:space="0" w:color="auto"/>
            </w:tcBorders>
            <w:shd w:val="clear" w:color="auto" w:fill="auto"/>
            <w:noWrap/>
            <w:vAlign w:val="center"/>
          </w:tcPr>
          <w:p w14:paraId="121DEFE8" w14:textId="5E6CEBF2" w:rsidR="00787D57" w:rsidRDefault="00787D57" w:rsidP="110985B9">
            <w:pPr>
              <w:spacing w:after="0" w:line="240" w:lineRule="auto"/>
              <w:jc w:val="right"/>
              <w:rPr>
                <w:rFonts w:cs="Arial"/>
                <w:color w:val="000000"/>
              </w:rPr>
            </w:pPr>
            <w:r w:rsidRPr="0082290B">
              <w:rPr>
                <w:rFonts w:cs="Arial"/>
                <w:color w:val="000000" w:themeColor="text1"/>
              </w:rPr>
              <w:t xml:space="preserve">2,914 </w:t>
            </w:r>
          </w:p>
        </w:tc>
        <w:tc>
          <w:tcPr>
            <w:tcW w:w="1418" w:type="dxa"/>
            <w:tcBorders>
              <w:top w:val="nil"/>
              <w:left w:val="nil"/>
              <w:bottom w:val="single" w:sz="4" w:space="0" w:color="auto"/>
              <w:right w:val="single" w:sz="4" w:space="0" w:color="auto"/>
            </w:tcBorders>
            <w:shd w:val="clear" w:color="auto" w:fill="auto"/>
            <w:noWrap/>
            <w:vAlign w:val="center"/>
          </w:tcPr>
          <w:p w14:paraId="74531F4B" w14:textId="261FF00F" w:rsidR="00787D57" w:rsidRDefault="00787D57" w:rsidP="110985B9">
            <w:pPr>
              <w:spacing w:after="0" w:line="240" w:lineRule="auto"/>
              <w:jc w:val="right"/>
              <w:rPr>
                <w:rFonts w:cs="Arial"/>
                <w:color w:val="000000"/>
              </w:rPr>
            </w:pPr>
            <w:r w:rsidRPr="0082290B">
              <w:rPr>
                <w:rFonts w:cs="Arial"/>
                <w:color w:val="000000" w:themeColor="text1"/>
              </w:rPr>
              <w:t xml:space="preserve">310 </w:t>
            </w:r>
          </w:p>
        </w:tc>
        <w:tc>
          <w:tcPr>
            <w:tcW w:w="1477" w:type="dxa"/>
            <w:tcBorders>
              <w:top w:val="nil"/>
              <w:left w:val="nil"/>
              <w:bottom w:val="single" w:sz="4" w:space="0" w:color="auto"/>
              <w:right w:val="single" w:sz="4" w:space="0" w:color="auto"/>
            </w:tcBorders>
            <w:shd w:val="clear" w:color="auto" w:fill="auto"/>
            <w:noWrap/>
            <w:vAlign w:val="center"/>
          </w:tcPr>
          <w:p w14:paraId="31F7B1F5" w14:textId="11963CC9" w:rsidR="00787D57" w:rsidRDefault="00787D57" w:rsidP="110985B9">
            <w:pPr>
              <w:spacing w:after="0" w:line="240" w:lineRule="auto"/>
              <w:jc w:val="right"/>
              <w:rPr>
                <w:rFonts w:cs="Arial"/>
                <w:color w:val="000000"/>
              </w:rPr>
            </w:pPr>
            <w:r w:rsidRPr="0082290B">
              <w:rPr>
                <w:rFonts w:cs="Arial"/>
                <w:color w:val="000000" w:themeColor="text1"/>
              </w:rPr>
              <w:t>0.6%</w:t>
            </w:r>
          </w:p>
        </w:tc>
      </w:tr>
      <w:tr w:rsidR="00787D57" w:rsidRPr="00537E40" w14:paraId="019AEBB6"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03AC6CBA" w14:textId="77777777" w:rsidR="00787D57" w:rsidRDefault="00787D57" w:rsidP="00787D57">
            <w:pPr>
              <w:spacing w:after="0"/>
              <w:rPr>
                <w:rFonts w:cs="Arial"/>
                <w:b/>
                <w:bCs/>
                <w:color w:val="000000"/>
                <w:szCs w:val="20"/>
              </w:rPr>
            </w:pPr>
            <w:r>
              <w:rPr>
                <w:rFonts w:cs="Arial"/>
                <w:b/>
                <w:bCs/>
                <w:color w:val="000000"/>
                <w:szCs w:val="20"/>
              </w:rPr>
              <w:t>Port Melbourne</w:t>
            </w:r>
          </w:p>
        </w:tc>
        <w:tc>
          <w:tcPr>
            <w:tcW w:w="1187" w:type="dxa"/>
            <w:tcBorders>
              <w:top w:val="nil"/>
              <w:left w:val="nil"/>
              <w:bottom w:val="single" w:sz="4" w:space="0" w:color="auto"/>
              <w:right w:val="single" w:sz="4" w:space="0" w:color="auto"/>
            </w:tcBorders>
            <w:shd w:val="clear" w:color="auto" w:fill="auto"/>
            <w:noWrap/>
            <w:vAlign w:val="center"/>
          </w:tcPr>
          <w:p w14:paraId="24C42A0A" w14:textId="59DD8F40" w:rsidR="00787D57" w:rsidRDefault="00787D57" w:rsidP="110985B9">
            <w:pPr>
              <w:spacing w:after="0" w:line="240" w:lineRule="auto"/>
              <w:jc w:val="right"/>
              <w:rPr>
                <w:rFonts w:cs="Arial"/>
                <w:color w:val="000000"/>
              </w:rPr>
            </w:pPr>
            <w:r w:rsidRPr="0082290B">
              <w:rPr>
                <w:rFonts w:cs="Arial"/>
                <w:color w:val="000000" w:themeColor="text1"/>
              </w:rPr>
              <w:t xml:space="preserve">2 </w:t>
            </w:r>
          </w:p>
        </w:tc>
        <w:tc>
          <w:tcPr>
            <w:tcW w:w="1276" w:type="dxa"/>
            <w:tcBorders>
              <w:top w:val="nil"/>
              <w:left w:val="nil"/>
              <w:bottom w:val="single" w:sz="4" w:space="0" w:color="auto"/>
              <w:right w:val="single" w:sz="4" w:space="0" w:color="auto"/>
            </w:tcBorders>
            <w:shd w:val="clear" w:color="auto" w:fill="auto"/>
            <w:noWrap/>
            <w:vAlign w:val="center"/>
          </w:tcPr>
          <w:p w14:paraId="2788EBD9" w14:textId="6E22850D" w:rsidR="00787D57" w:rsidRDefault="00787D57" w:rsidP="110985B9">
            <w:pPr>
              <w:spacing w:after="0" w:line="240" w:lineRule="auto"/>
              <w:jc w:val="right"/>
              <w:rPr>
                <w:rFonts w:cs="Arial"/>
                <w:color w:val="000000"/>
              </w:rPr>
            </w:pPr>
            <w:r w:rsidRPr="0082290B">
              <w:rPr>
                <w:rFonts w:cs="Arial"/>
                <w:color w:val="000000" w:themeColor="text1"/>
              </w:rPr>
              <w:t xml:space="preserve">410 </w:t>
            </w:r>
          </w:p>
        </w:tc>
        <w:tc>
          <w:tcPr>
            <w:tcW w:w="1275" w:type="dxa"/>
            <w:tcBorders>
              <w:top w:val="nil"/>
              <w:left w:val="nil"/>
              <w:bottom w:val="single" w:sz="4" w:space="0" w:color="auto"/>
              <w:right w:val="single" w:sz="4" w:space="0" w:color="auto"/>
            </w:tcBorders>
            <w:shd w:val="clear" w:color="auto" w:fill="auto"/>
            <w:noWrap/>
            <w:vAlign w:val="center"/>
          </w:tcPr>
          <w:p w14:paraId="4385CDC4" w14:textId="5209CA14" w:rsidR="00787D57" w:rsidRDefault="00787D57" w:rsidP="110985B9">
            <w:pPr>
              <w:spacing w:after="0" w:line="240" w:lineRule="auto"/>
              <w:jc w:val="right"/>
              <w:rPr>
                <w:rFonts w:cs="Arial"/>
                <w:color w:val="000000"/>
              </w:rPr>
            </w:pPr>
            <w:r w:rsidRPr="0082290B">
              <w:rPr>
                <w:rFonts w:cs="Arial"/>
                <w:color w:val="000000" w:themeColor="text1"/>
              </w:rPr>
              <w:t xml:space="preserve">1,339 </w:t>
            </w:r>
          </w:p>
        </w:tc>
        <w:tc>
          <w:tcPr>
            <w:tcW w:w="1418" w:type="dxa"/>
            <w:tcBorders>
              <w:top w:val="nil"/>
              <w:left w:val="nil"/>
              <w:bottom w:val="single" w:sz="4" w:space="0" w:color="auto"/>
              <w:right w:val="single" w:sz="4" w:space="0" w:color="auto"/>
            </w:tcBorders>
            <w:shd w:val="clear" w:color="auto" w:fill="auto"/>
            <w:noWrap/>
            <w:vAlign w:val="center"/>
          </w:tcPr>
          <w:p w14:paraId="398BD2ED" w14:textId="3B3A84CC" w:rsidR="00787D57" w:rsidRDefault="00787D57" w:rsidP="110985B9">
            <w:pPr>
              <w:spacing w:after="0" w:line="240" w:lineRule="auto"/>
              <w:jc w:val="right"/>
              <w:rPr>
                <w:rFonts w:cs="Arial"/>
                <w:color w:val="000000"/>
              </w:rPr>
            </w:pPr>
            <w:r w:rsidRPr="0082290B">
              <w:rPr>
                <w:rFonts w:cs="Arial"/>
                <w:color w:val="000000" w:themeColor="text1"/>
              </w:rPr>
              <w:t xml:space="preserve">1,337 </w:t>
            </w:r>
          </w:p>
        </w:tc>
        <w:tc>
          <w:tcPr>
            <w:tcW w:w="1477" w:type="dxa"/>
            <w:tcBorders>
              <w:top w:val="nil"/>
              <w:left w:val="nil"/>
              <w:bottom w:val="single" w:sz="4" w:space="0" w:color="auto"/>
              <w:right w:val="single" w:sz="4" w:space="0" w:color="auto"/>
            </w:tcBorders>
            <w:shd w:val="clear" w:color="auto" w:fill="auto"/>
            <w:noWrap/>
            <w:vAlign w:val="center"/>
          </w:tcPr>
          <w:p w14:paraId="09444E78" w14:textId="74DA21B7" w:rsidR="00787D57" w:rsidRDefault="00787D57" w:rsidP="110985B9">
            <w:pPr>
              <w:spacing w:after="0" w:line="240" w:lineRule="auto"/>
              <w:jc w:val="right"/>
              <w:rPr>
                <w:rFonts w:cs="Arial"/>
                <w:color w:val="000000"/>
              </w:rPr>
            </w:pPr>
            <w:r w:rsidRPr="0082290B">
              <w:rPr>
                <w:rFonts w:cs="Arial"/>
                <w:color w:val="000000" w:themeColor="text1"/>
              </w:rPr>
              <w:t>38.4%</w:t>
            </w:r>
          </w:p>
        </w:tc>
      </w:tr>
      <w:tr w:rsidR="00787D57" w:rsidRPr="00537E40" w14:paraId="0FEEC4EF"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51559918" w14:textId="77777777" w:rsidR="00787D57" w:rsidRDefault="00787D57" w:rsidP="00787D57">
            <w:pPr>
              <w:spacing w:after="0"/>
              <w:rPr>
                <w:rFonts w:cs="Arial"/>
                <w:b/>
                <w:bCs/>
                <w:color w:val="000000"/>
                <w:szCs w:val="20"/>
              </w:rPr>
            </w:pPr>
            <w:r>
              <w:rPr>
                <w:rFonts w:cs="Arial"/>
                <w:b/>
                <w:bCs/>
                <w:color w:val="000000"/>
                <w:szCs w:val="20"/>
              </w:rPr>
              <w:t>South Yarra</w:t>
            </w:r>
          </w:p>
        </w:tc>
        <w:tc>
          <w:tcPr>
            <w:tcW w:w="1187" w:type="dxa"/>
            <w:tcBorders>
              <w:top w:val="nil"/>
              <w:left w:val="nil"/>
              <w:bottom w:val="single" w:sz="4" w:space="0" w:color="auto"/>
              <w:right w:val="single" w:sz="4" w:space="0" w:color="auto"/>
            </w:tcBorders>
            <w:shd w:val="clear" w:color="auto" w:fill="auto"/>
            <w:noWrap/>
            <w:vAlign w:val="center"/>
          </w:tcPr>
          <w:p w14:paraId="3C5B131D" w14:textId="5F51FDD6" w:rsidR="00787D57" w:rsidRDefault="00787D57" w:rsidP="110985B9">
            <w:pPr>
              <w:spacing w:after="0" w:line="240" w:lineRule="auto"/>
              <w:jc w:val="right"/>
              <w:rPr>
                <w:rFonts w:cs="Arial"/>
                <w:color w:val="000000"/>
              </w:rPr>
            </w:pPr>
            <w:r w:rsidRPr="0082290B">
              <w:rPr>
                <w:rFonts w:cs="Arial"/>
                <w:color w:val="000000" w:themeColor="text1"/>
              </w:rPr>
              <w:t xml:space="preserve">2,339 </w:t>
            </w:r>
          </w:p>
        </w:tc>
        <w:tc>
          <w:tcPr>
            <w:tcW w:w="1276" w:type="dxa"/>
            <w:tcBorders>
              <w:top w:val="nil"/>
              <w:left w:val="nil"/>
              <w:bottom w:val="single" w:sz="4" w:space="0" w:color="auto"/>
              <w:right w:val="single" w:sz="4" w:space="0" w:color="auto"/>
            </w:tcBorders>
            <w:shd w:val="clear" w:color="auto" w:fill="auto"/>
            <w:noWrap/>
            <w:vAlign w:val="center"/>
          </w:tcPr>
          <w:p w14:paraId="703449E5" w14:textId="41F16E04" w:rsidR="00787D57" w:rsidRDefault="00787D57" w:rsidP="110985B9">
            <w:pPr>
              <w:spacing w:after="0" w:line="240" w:lineRule="auto"/>
              <w:jc w:val="right"/>
              <w:rPr>
                <w:rFonts w:cs="Arial"/>
                <w:color w:val="000000"/>
              </w:rPr>
            </w:pPr>
            <w:r w:rsidRPr="0082290B">
              <w:rPr>
                <w:rFonts w:cs="Arial"/>
                <w:color w:val="000000" w:themeColor="text1"/>
              </w:rPr>
              <w:t xml:space="preserve">2,831 </w:t>
            </w:r>
          </w:p>
        </w:tc>
        <w:tc>
          <w:tcPr>
            <w:tcW w:w="1275" w:type="dxa"/>
            <w:tcBorders>
              <w:top w:val="nil"/>
              <w:left w:val="nil"/>
              <w:bottom w:val="single" w:sz="4" w:space="0" w:color="auto"/>
              <w:right w:val="single" w:sz="4" w:space="0" w:color="auto"/>
            </w:tcBorders>
            <w:shd w:val="clear" w:color="auto" w:fill="auto"/>
            <w:noWrap/>
            <w:vAlign w:val="center"/>
          </w:tcPr>
          <w:p w14:paraId="0A02C670" w14:textId="02CD6ED6" w:rsidR="00787D57" w:rsidRDefault="00787D57" w:rsidP="110985B9">
            <w:pPr>
              <w:spacing w:after="0" w:line="240" w:lineRule="auto"/>
              <w:jc w:val="right"/>
              <w:rPr>
                <w:rFonts w:cs="Arial"/>
                <w:color w:val="000000"/>
              </w:rPr>
            </w:pPr>
            <w:r w:rsidRPr="0082290B">
              <w:rPr>
                <w:rFonts w:cs="Arial"/>
                <w:color w:val="000000" w:themeColor="text1"/>
              </w:rPr>
              <w:t xml:space="preserve">2,812 </w:t>
            </w:r>
          </w:p>
        </w:tc>
        <w:tc>
          <w:tcPr>
            <w:tcW w:w="1418" w:type="dxa"/>
            <w:tcBorders>
              <w:top w:val="nil"/>
              <w:left w:val="nil"/>
              <w:bottom w:val="single" w:sz="4" w:space="0" w:color="auto"/>
              <w:right w:val="single" w:sz="4" w:space="0" w:color="auto"/>
            </w:tcBorders>
            <w:shd w:val="clear" w:color="auto" w:fill="auto"/>
            <w:noWrap/>
            <w:vAlign w:val="center"/>
          </w:tcPr>
          <w:p w14:paraId="1DF4CF66" w14:textId="40B6790D" w:rsidR="00787D57" w:rsidRDefault="00787D57" w:rsidP="110985B9">
            <w:pPr>
              <w:spacing w:after="0" w:line="240" w:lineRule="auto"/>
              <w:jc w:val="right"/>
              <w:rPr>
                <w:rFonts w:cs="Arial"/>
                <w:color w:val="000000"/>
              </w:rPr>
            </w:pPr>
            <w:r w:rsidRPr="0082290B">
              <w:rPr>
                <w:rFonts w:cs="Arial"/>
                <w:color w:val="000000" w:themeColor="text1"/>
              </w:rPr>
              <w:t xml:space="preserve">473 </w:t>
            </w:r>
          </w:p>
        </w:tc>
        <w:tc>
          <w:tcPr>
            <w:tcW w:w="1477" w:type="dxa"/>
            <w:tcBorders>
              <w:top w:val="nil"/>
              <w:left w:val="nil"/>
              <w:bottom w:val="single" w:sz="4" w:space="0" w:color="auto"/>
              <w:right w:val="single" w:sz="4" w:space="0" w:color="auto"/>
            </w:tcBorders>
            <w:shd w:val="clear" w:color="auto" w:fill="auto"/>
            <w:noWrap/>
            <w:vAlign w:val="center"/>
          </w:tcPr>
          <w:p w14:paraId="3BA578C0" w14:textId="559B2D01" w:rsidR="00787D57" w:rsidRDefault="00787D57" w:rsidP="110985B9">
            <w:pPr>
              <w:spacing w:after="0" w:line="240" w:lineRule="auto"/>
              <w:jc w:val="right"/>
              <w:rPr>
                <w:rFonts w:cs="Arial"/>
                <w:color w:val="000000"/>
              </w:rPr>
            </w:pPr>
            <w:r w:rsidRPr="0082290B">
              <w:rPr>
                <w:rFonts w:cs="Arial"/>
                <w:color w:val="000000" w:themeColor="text1"/>
              </w:rPr>
              <w:t>0.9%</w:t>
            </w:r>
          </w:p>
        </w:tc>
      </w:tr>
      <w:tr w:rsidR="00787D57" w:rsidRPr="00537E40" w14:paraId="10E9BF7D"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586F0A7B" w14:textId="77777777" w:rsidR="00787D57" w:rsidRDefault="00787D57" w:rsidP="00787D57">
            <w:pPr>
              <w:spacing w:after="0"/>
              <w:rPr>
                <w:rFonts w:cs="Arial"/>
                <w:b/>
                <w:bCs/>
                <w:color w:val="000000"/>
                <w:szCs w:val="20"/>
              </w:rPr>
            </w:pPr>
            <w:r>
              <w:rPr>
                <w:rFonts w:cs="Arial"/>
                <w:b/>
                <w:bCs/>
                <w:color w:val="000000"/>
                <w:szCs w:val="20"/>
              </w:rPr>
              <w:t>Southbank</w:t>
            </w:r>
          </w:p>
        </w:tc>
        <w:tc>
          <w:tcPr>
            <w:tcW w:w="1187" w:type="dxa"/>
            <w:tcBorders>
              <w:top w:val="nil"/>
              <w:left w:val="nil"/>
              <w:bottom w:val="single" w:sz="4" w:space="0" w:color="auto"/>
              <w:right w:val="single" w:sz="4" w:space="0" w:color="auto"/>
            </w:tcBorders>
            <w:shd w:val="clear" w:color="auto" w:fill="auto"/>
            <w:noWrap/>
            <w:vAlign w:val="center"/>
          </w:tcPr>
          <w:p w14:paraId="5F13CFBF" w14:textId="18A816BF" w:rsidR="00787D57" w:rsidRDefault="00787D57" w:rsidP="110985B9">
            <w:pPr>
              <w:spacing w:after="0" w:line="240" w:lineRule="auto"/>
              <w:jc w:val="right"/>
              <w:rPr>
                <w:rFonts w:cs="Arial"/>
                <w:color w:val="000000"/>
              </w:rPr>
            </w:pPr>
            <w:r w:rsidRPr="0082290B">
              <w:rPr>
                <w:rFonts w:cs="Arial"/>
                <w:color w:val="000000" w:themeColor="text1"/>
              </w:rPr>
              <w:t xml:space="preserve">12,050 </w:t>
            </w:r>
          </w:p>
        </w:tc>
        <w:tc>
          <w:tcPr>
            <w:tcW w:w="1276" w:type="dxa"/>
            <w:tcBorders>
              <w:top w:val="nil"/>
              <w:left w:val="nil"/>
              <w:bottom w:val="single" w:sz="4" w:space="0" w:color="auto"/>
              <w:right w:val="single" w:sz="4" w:space="0" w:color="auto"/>
            </w:tcBorders>
            <w:shd w:val="clear" w:color="auto" w:fill="auto"/>
            <w:noWrap/>
            <w:vAlign w:val="center"/>
          </w:tcPr>
          <w:p w14:paraId="7B6059DB" w14:textId="5DA37E6D" w:rsidR="00787D57" w:rsidRDefault="00787D57" w:rsidP="110985B9">
            <w:pPr>
              <w:spacing w:after="0" w:line="240" w:lineRule="auto"/>
              <w:jc w:val="right"/>
              <w:rPr>
                <w:rFonts w:cs="Arial"/>
                <w:color w:val="000000"/>
              </w:rPr>
            </w:pPr>
            <w:r w:rsidRPr="0082290B">
              <w:rPr>
                <w:rFonts w:cs="Arial"/>
                <w:color w:val="000000" w:themeColor="text1"/>
              </w:rPr>
              <w:t xml:space="preserve">15,702 </w:t>
            </w:r>
          </w:p>
        </w:tc>
        <w:tc>
          <w:tcPr>
            <w:tcW w:w="1275" w:type="dxa"/>
            <w:tcBorders>
              <w:top w:val="nil"/>
              <w:left w:val="nil"/>
              <w:bottom w:val="single" w:sz="4" w:space="0" w:color="auto"/>
              <w:right w:val="single" w:sz="4" w:space="0" w:color="auto"/>
            </w:tcBorders>
            <w:shd w:val="clear" w:color="auto" w:fill="auto"/>
            <w:noWrap/>
            <w:vAlign w:val="center"/>
          </w:tcPr>
          <w:p w14:paraId="42FF2625" w14:textId="18C2BB68" w:rsidR="00787D57" w:rsidRDefault="00787D57" w:rsidP="110985B9">
            <w:pPr>
              <w:spacing w:after="0" w:line="240" w:lineRule="auto"/>
              <w:jc w:val="right"/>
              <w:rPr>
                <w:rFonts w:cs="Arial"/>
                <w:color w:val="000000"/>
              </w:rPr>
            </w:pPr>
            <w:r w:rsidRPr="0082290B">
              <w:rPr>
                <w:rFonts w:cs="Arial"/>
                <w:color w:val="000000" w:themeColor="text1"/>
              </w:rPr>
              <w:t xml:space="preserve">18,193 </w:t>
            </w:r>
          </w:p>
        </w:tc>
        <w:tc>
          <w:tcPr>
            <w:tcW w:w="1418" w:type="dxa"/>
            <w:tcBorders>
              <w:top w:val="nil"/>
              <w:left w:val="nil"/>
              <w:bottom w:val="single" w:sz="4" w:space="0" w:color="auto"/>
              <w:right w:val="single" w:sz="4" w:space="0" w:color="auto"/>
            </w:tcBorders>
            <w:shd w:val="clear" w:color="auto" w:fill="auto"/>
            <w:noWrap/>
            <w:vAlign w:val="center"/>
          </w:tcPr>
          <w:p w14:paraId="59C9889E" w14:textId="0A6A7D25" w:rsidR="00787D57" w:rsidRDefault="00787D57" w:rsidP="110985B9">
            <w:pPr>
              <w:spacing w:after="0" w:line="240" w:lineRule="auto"/>
              <w:jc w:val="right"/>
              <w:rPr>
                <w:rFonts w:cs="Arial"/>
                <w:color w:val="000000"/>
              </w:rPr>
            </w:pPr>
            <w:r w:rsidRPr="0082290B">
              <w:rPr>
                <w:rFonts w:cs="Arial"/>
                <w:color w:val="000000" w:themeColor="text1"/>
              </w:rPr>
              <w:t xml:space="preserve">6,143 </w:t>
            </w:r>
          </w:p>
        </w:tc>
        <w:tc>
          <w:tcPr>
            <w:tcW w:w="1477" w:type="dxa"/>
            <w:tcBorders>
              <w:top w:val="nil"/>
              <w:left w:val="nil"/>
              <w:bottom w:val="single" w:sz="4" w:space="0" w:color="auto"/>
              <w:right w:val="single" w:sz="4" w:space="0" w:color="auto"/>
            </w:tcBorders>
            <w:shd w:val="clear" w:color="auto" w:fill="auto"/>
            <w:noWrap/>
            <w:vAlign w:val="center"/>
          </w:tcPr>
          <w:p w14:paraId="3A066E3C" w14:textId="2B0AE861" w:rsidR="00787D57" w:rsidRDefault="00787D57" w:rsidP="110985B9">
            <w:pPr>
              <w:spacing w:after="0" w:line="240" w:lineRule="auto"/>
              <w:jc w:val="right"/>
              <w:rPr>
                <w:rFonts w:cs="Arial"/>
                <w:color w:val="000000"/>
              </w:rPr>
            </w:pPr>
            <w:r w:rsidRPr="0082290B">
              <w:rPr>
                <w:rFonts w:cs="Arial"/>
                <w:color w:val="000000" w:themeColor="text1"/>
              </w:rPr>
              <w:t>2.1%</w:t>
            </w:r>
          </w:p>
        </w:tc>
      </w:tr>
      <w:tr w:rsidR="00787D57" w:rsidRPr="00537E40" w14:paraId="27D60EF1"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132B7FED" w14:textId="77777777" w:rsidR="00787D57" w:rsidRDefault="00787D57" w:rsidP="00787D57">
            <w:pPr>
              <w:spacing w:after="0"/>
              <w:rPr>
                <w:rFonts w:cs="Arial"/>
                <w:b/>
                <w:bCs/>
                <w:color w:val="000000"/>
                <w:szCs w:val="20"/>
              </w:rPr>
            </w:pPr>
            <w:r>
              <w:rPr>
                <w:rFonts w:cs="Arial"/>
                <w:b/>
                <w:bCs/>
                <w:color w:val="000000"/>
                <w:szCs w:val="20"/>
              </w:rPr>
              <w:t>West Melbourne (Industrial)</w:t>
            </w:r>
          </w:p>
        </w:tc>
        <w:tc>
          <w:tcPr>
            <w:tcW w:w="1187" w:type="dxa"/>
            <w:tcBorders>
              <w:top w:val="nil"/>
              <w:left w:val="nil"/>
              <w:bottom w:val="single" w:sz="4" w:space="0" w:color="auto"/>
              <w:right w:val="single" w:sz="4" w:space="0" w:color="auto"/>
            </w:tcBorders>
            <w:shd w:val="clear" w:color="auto" w:fill="auto"/>
            <w:noWrap/>
            <w:vAlign w:val="center"/>
          </w:tcPr>
          <w:p w14:paraId="46381A95" w14:textId="242CDFC3" w:rsidR="00787D57" w:rsidRDefault="00787D57" w:rsidP="110985B9">
            <w:pPr>
              <w:spacing w:after="0" w:line="240" w:lineRule="auto"/>
              <w:jc w:val="right"/>
              <w:rPr>
                <w:rFonts w:cs="Arial"/>
                <w:color w:val="000000"/>
              </w:rPr>
            </w:pPr>
            <w:r w:rsidRPr="0082290B">
              <w:rPr>
                <w:rFonts w:cs="Arial"/>
                <w:color w:val="000000" w:themeColor="text1"/>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9ADDAB5" w14:textId="1A5AF34F" w:rsidR="00787D57" w:rsidRDefault="00787D57" w:rsidP="110985B9">
            <w:pPr>
              <w:spacing w:after="0" w:line="240" w:lineRule="auto"/>
              <w:jc w:val="right"/>
              <w:rPr>
                <w:rFonts w:cs="Arial"/>
                <w:color w:val="000000"/>
              </w:rPr>
            </w:pPr>
            <w:r w:rsidRPr="0082290B">
              <w:rPr>
                <w:rFonts w:cs="Arial"/>
                <w:color w:val="000000" w:themeColor="text1"/>
              </w:rPr>
              <w:t xml:space="preserve">-   </w:t>
            </w:r>
          </w:p>
        </w:tc>
        <w:tc>
          <w:tcPr>
            <w:tcW w:w="1275" w:type="dxa"/>
            <w:tcBorders>
              <w:top w:val="nil"/>
              <w:left w:val="nil"/>
              <w:bottom w:val="single" w:sz="4" w:space="0" w:color="auto"/>
              <w:right w:val="single" w:sz="4" w:space="0" w:color="auto"/>
            </w:tcBorders>
            <w:shd w:val="clear" w:color="auto" w:fill="auto"/>
            <w:noWrap/>
            <w:vAlign w:val="center"/>
          </w:tcPr>
          <w:p w14:paraId="02D95DEA" w14:textId="5ACECAA7" w:rsidR="00787D57" w:rsidRDefault="00787D57" w:rsidP="110985B9">
            <w:pPr>
              <w:spacing w:after="0" w:line="240" w:lineRule="auto"/>
              <w:jc w:val="right"/>
              <w:rPr>
                <w:rFonts w:cs="Arial"/>
                <w:color w:val="000000"/>
              </w:rPr>
            </w:pPr>
            <w:r w:rsidRPr="0082290B">
              <w:rPr>
                <w:rFonts w:cs="Arial"/>
                <w:color w:val="000000" w:themeColor="text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7321CA0F" w14:textId="5895EB8F" w:rsidR="00787D57" w:rsidRDefault="00787D57" w:rsidP="110985B9">
            <w:pPr>
              <w:spacing w:after="0" w:line="240" w:lineRule="auto"/>
              <w:jc w:val="right"/>
              <w:rPr>
                <w:rFonts w:cs="Arial"/>
                <w:color w:val="000000"/>
              </w:rPr>
            </w:pPr>
            <w:r w:rsidRPr="0082290B">
              <w:rPr>
                <w:rFonts w:cs="Arial"/>
                <w:color w:val="000000" w:themeColor="text1"/>
              </w:rPr>
              <w:t xml:space="preserve">                    -   </w:t>
            </w:r>
          </w:p>
        </w:tc>
        <w:tc>
          <w:tcPr>
            <w:tcW w:w="1477" w:type="dxa"/>
            <w:tcBorders>
              <w:top w:val="nil"/>
              <w:left w:val="nil"/>
              <w:bottom w:val="single" w:sz="4" w:space="0" w:color="auto"/>
              <w:right w:val="single" w:sz="4" w:space="0" w:color="auto"/>
            </w:tcBorders>
            <w:shd w:val="clear" w:color="auto" w:fill="auto"/>
            <w:noWrap/>
            <w:vAlign w:val="center"/>
          </w:tcPr>
          <w:p w14:paraId="7BCCC72E" w14:textId="5B0684DC" w:rsidR="00787D57" w:rsidRDefault="00787D57" w:rsidP="110985B9">
            <w:pPr>
              <w:spacing w:after="0" w:line="240" w:lineRule="auto"/>
              <w:jc w:val="right"/>
              <w:rPr>
                <w:rFonts w:cs="Arial"/>
                <w:color w:val="000000"/>
              </w:rPr>
            </w:pPr>
            <w:r w:rsidRPr="0082290B">
              <w:rPr>
                <w:rFonts w:cs="Arial"/>
                <w:color w:val="000000" w:themeColor="text1"/>
              </w:rPr>
              <w:t>0.0%</w:t>
            </w:r>
          </w:p>
        </w:tc>
      </w:tr>
      <w:tr w:rsidR="00787D57" w:rsidRPr="00537E40" w14:paraId="2B05F613"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624857DD" w14:textId="77777777" w:rsidR="00787D57" w:rsidRDefault="00787D57" w:rsidP="00787D57">
            <w:pPr>
              <w:spacing w:after="0"/>
              <w:rPr>
                <w:rFonts w:cs="Arial"/>
                <w:b/>
                <w:bCs/>
                <w:color w:val="000000"/>
                <w:szCs w:val="20"/>
              </w:rPr>
            </w:pPr>
            <w:r>
              <w:rPr>
                <w:rFonts w:cs="Arial"/>
                <w:b/>
                <w:bCs/>
                <w:color w:val="000000"/>
                <w:szCs w:val="20"/>
              </w:rPr>
              <w:t>West Melbourne (Residential)</w:t>
            </w:r>
          </w:p>
        </w:tc>
        <w:tc>
          <w:tcPr>
            <w:tcW w:w="1187" w:type="dxa"/>
            <w:tcBorders>
              <w:top w:val="nil"/>
              <w:left w:val="nil"/>
              <w:bottom w:val="single" w:sz="4" w:space="0" w:color="auto"/>
              <w:right w:val="single" w:sz="4" w:space="0" w:color="auto"/>
            </w:tcBorders>
            <w:shd w:val="clear" w:color="auto" w:fill="auto"/>
            <w:noWrap/>
            <w:vAlign w:val="center"/>
          </w:tcPr>
          <w:p w14:paraId="130CE2CD" w14:textId="0A2C9307" w:rsidR="00787D57" w:rsidRDefault="00787D57" w:rsidP="110985B9">
            <w:pPr>
              <w:spacing w:after="0" w:line="240" w:lineRule="auto"/>
              <w:jc w:val="right"/>
              <w:rPr>
                <w:rFonts w:cs="Arial"/>
                <w:color w:val="000000"/>
              </w:rPr>
            </w:pPr>
            <w:r w:rsidRPr="0082290B">
              <w:rPr>
                <w:rFonts w:cs="Arial"/>
                <w:color w:val="000000" w:themeColor="text1"/>
              </w:rPr>
              <w:t xml:space="preserve">4,727 </w:t>
            </w:r>
          </w:p>
        </w:tc>
        <w:tc>
          <w:tcPr>
            <w:tcW w:w="1276" w:type="dxa"/>
            <w:tcBorders>
              <w:top w:val="nil"/>
              <w:left w:val="nil"/>
              <w:bottom w:val="single" w:sz="4" w:space="0" w:color="auto"/>
              <w:right w:val="single" w:sz="4" w:space="0" w:color="auto"/>
            </w:tcBorders>
            <w:shd w:val="clear" w:color="auto" w:fill="auto"/>
            <w:noWrap/>
            <w:vAlign w:val="center"/>
          </w:tcPr>
          <w:p w14:paraId="137ED051" w14:textId="7115067D" w:rsidR="00787D57" w:rsidRDefault="00787D57" w:rsidP="110985B9">
            <w:pPr>
              <w:spacing w:after="0" w:line="240" w:lineRule="auto"/>
              <w:jc w:val="right"/>
              <w:rPr>
                <w:rFonts w:cs="Arial"/>
                <w:color w:val="000000"/>
              </w:rPr>
            </w:pPr>
            <w:r w:rsidRPr="0082290B">
              <w:rPr>
                <w:rFonts w:cs="Arial"/>
                <w:color w:val="000000" w:themeColor="text1"/>
              </w:rPr>
              <w:t xml:space="preserve">6,060 </w:t>
            </w:r>
          </w:p>
        </w:tc>
        <w:tc>
          <w:tcPr>
            <w:tcW w:w="1275" w:type="dxa"/>
            <w:tcBorders>
              <w:top w:val="nil"/>
              <w:left w:val="nil"/>
              <w:bottom w:val="single" w:sz="4" w:space="0" w:color="auto"/>
              <w:right w:val="single" w:sz="4" w:space="0" w:color="auto"/>
            </w:tcBorders>
            <w:shd w:val="clear" w:color="auto" w:fill="auto"/>
            <w:noWrap/>
            <w:vAlign w:val="center"/>
          </w:tcPr>
          <w:p w14:paraId="73E0A3DA" w14:textId="755580AF" w:rsidR="00787D57" w:rsidRDefault="00787D57" w:rsidP="110985B9">
            <w:pPr>
              <w:spacing w:after="0" w:line="240" w:lineRule="auto"/>
              <w:jc w:val="right"/>
              <w:rPr>
                <w:rFonts w:cs="Arial"/>
                <w:color w:val="000000"/>
              </w:rPr>
            </w:pPr>
            <w:r w:rsidRPr="0082290B">
              <w:rPr>
                <w:rFonts w:cs="Arial"/>
                <w:color w:val="000000" w:themeColor="text1"/>
              </w:rPr>
              <w:t xml:space="preserve">6,612 </w:t>
            </w:r>
          </w:p>
        </w:tc>
        <w:tc>
          <w:tcPr>
            <w:tcW w:w="1418" w:type="dxa"/>
            <w:tcBorders>
              <w:top w:val="nil"/>
              <w:left w:val="nil"/>
              <w:bottom w:val="single" w:sz="4" w:space="0" w:color="auto"/>
              <w:right w:val="single" w:sz="4" w:space="0" w:color="auto"/>
            </w:tcBorders>
            <w:shd w:val="clear" w:color="auto" w:fill="auto"/>
            <w:noWrap/>
            <w:vAlign w:val="center"/>
          </w:tcPr>
          <w:p w14:paraId="703267C6" w14:textId="25F40A3D" w:rsidR="00787D57" w:rsidRDefault="00787D57" w:rsidP="110985B9">
            <w:pPr>
              <w:spacing w:after="0" w:line="240" w:lineRule="auto"/>
              <w:jc w:val="right"/>
              <w:rPr>
                <w:rFonts w:cs="Arial"/>
                <w:color w:val="000000"/>
              </w:rPr>
            </w:pPr>
            <w:r w:rsidRPr="0082290B">
              <w:rPr>
                <w:rFonts w:cs="Arial"/>
                <w:color w:val="000000" w:themeColor="text1"/>
              </w:rPr>
              <w:t xml:space="preserve">1,885 </w:t>
            </w:r>
          </w:p>
        </w:tc>
        <w:tc>
          <w:tcPr>
            <w:tcW w:w="1477" w:type="dxa"/>
            <w:tcBorders>
              <w:top w:val="nil"/>
              <w:left w:val="nil"/>
              <w:bottom w:val="single" w:sz="4" w:space="0" w:color="auto"/>
              <w:right w:val="single" w:sz="4" w:space="0" w:color="auto"/>
            </w:tcBorders>
            <w:shd w:val="clear" w:color="auto" w:fill="auto"/>
            <w:noWrap/>
            <w:vAlign w:val="center"/>
          </w:tcPr>
          <w:p w14:paraId="7DB51DD8" w14:textId="382B6F52" w:rsidR="00787D57" w:rsidRDefault="00787D57" w:rsidP="110985B9">
            <w:pPr>
              <w:spacing w:after="0" w:line="240" w:lineRule="auto"/>
              <w:jc w:val="right"/>
              <w:rPr>
                <w:rFonts w:cs="Arial"/>
                <w:color w:val="000000"/>
              </w:rPr>
            </w:pPr>
            <w:r w:rsidRPr="0082290B">
              <w:rPr>
                <w:rFonts w:cs="Arial"/>
                <w:color w:val="000000" w:themeColor="text1"/>
              </w:rPr>
              <w:t>1.7%</w:t>
            </w:r>
          </w:p>
        </w:tc>
      </w:tr>
      <w:tr w:rsidR="00787D57" w:rsidRPr="00537E40" w14:paraId="4D91519A"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47496A21" w14:textId="77777777" w:rsidR="00787D57" w:rsidRDefault="00787D57" w:rsidP="00787D57">
            <w:pPr>
              <w:spacing w:after="0"/>
              <w:rPr>
                <w:rFonts w:cs="Arial"/>
                <w:b/>
                <w:bCs/>
                <w:color w:val="000000"/>
                <w:szCs w:val="20"/>
              </w:rPr>
            </w:pPr>
            <w:r>
              <w:rPr>
                <w:rFonts w:cs="Arial"/>
                <w:b/>
                <w:bCs/>
                <w:color w:val="000000"/>
                <w:szCs w:val="20"/>
              </w:rPr>
              <w:t>Total (City of Melbourne)</w:t>
            </w:r>
          </w:p>
        </w:tc>
        <w:tc>
          <w:tcPr>
            <w:tcW w:w="1187" w:type="dxa"/>
            <w:tcBorders>
              <w:top w:val="nil"/>
              <w:left w:val="nil"/>
              <w:bottom w:val="single" w:sz="4" w:space="0" w:color="auto"/>
              <w:right w:val="single" w:sz="4" w:space="0" w:color="auto"/>
            </w:tcBorders>
            <w:shd w:val="clear" w:color="auto" w:fill="auto"/>
            <w:noWrap/>
            <w:vAlign w:val="center"/>
          </w:tcPr>
          <w:p w14:paraId="6EB698C4" w14:textId="6B5C7AC4" w:rsidR="00787D57" w:rsidRPr="00F568BB" w:rsidRDefault="00787D57" w:rsidP="110985B9">
            <w:pPr>
              <w:spacing w:after="0" w:line="240" w:lineRule="auto"/>
              <w:jc w:val="right"/>
              <w:rPr>
                <w:rFonts w:cs="Arial"/>
                <w:b/>
                <w:bCs/>
                <w:color w:val="000000"/>
              </w:rPr>
            </w:pPr>
            <w:r w:rsidRPr="0082290B">
              <w:rPr>
                <w:rFonts w:cs="Arial"/>
                <w:b/>
                <w:bCs/>
                <w:color w:val="000000" w:themeColor="text1"/>
              </w:rPr>
              <w:t xml:space="preserve">85,826 </w:t>
            </w:r>
          </w:p>
        </w:tc>
        <w:tc>
          <w:tcPr>
            <w:tcW w:w="1276" w:type="dxa"/>
            <w:tcBorders>
              <w:top w:val="nil"/>
              <w:left w:val="nil"/>
              <w:bottom w:val="single" w:sz="4" w:space="0" w:color="auto"/>
              <w:right w:val="single" w:sz="4" w:space="0" w:color="auto"/>
            </w:tcBorders>
            <w:shd w:val="clear" w:color="auto" w:fill="auto"/>
            <w:noWrap/>
            <w:vAlign w:val="center"/>
          </w:tcPr>
          <w:p w14:paraId="6EFF95EF" w14:textId="19906230" w:rsidR="00787D57" w:rsidRPr="00F568BB" w:rsidRDefault="00787D57" w:rsidP="110985B9">
            <w:pPr>
              <w:spacing w:after="0" w:line="240" w:lineRule="auto"/>
              <w:jc w:val="right"/>
              <w:rPr>
                <w:rFonts w:cs="Arial"/>
                <w:b/>
                <w:bCs/>
                <w:color w:val="000000"/>
              </w:rPr>
            </w:pPr>
            <w:r w:rsidRPr="0082290B">
              <w:rPr>
                <w:rFonts w:cs="Arial"/>
                <w:b/>
                <w:bCs/>
                <w:color w:val="000000" w:themeColor="text1"/>
              </w:rPr>
              <w:t xml:space="preserve">112,135 </w:t>
            </w:r>
          </w:p>
        </w:tc>
        <w:tc>
          <w:tcPr>
            <w:tcW w:w="1275" w:type="dxa"/>
            <w:tcBorders>
              <w:top w:val="nil"/>
              <w:left w:val="nil"/>
              <w:bottom w:val="single" w:sz="4" w:space="0" w:color="auto"/>
              <w:right w:val="single" w:sz="4" w:space="0" w:color="auto"/>
            </w:tcBorders>
            <w:shd w:val="clear" w:color="auto" w:fill="auto"/>
            <w:noWrap/>
            <w:vAlign w:val="center"/>
          </w:tcPr>
          <w:p w14:paraId="7FA4A834" w14:textId="55B3885B" w:rsidR="00787D57" w:rsidRPr="00F568BB" w:rsidRDefault="00787D57" w:rsidP="110985B9">
            <w:pPr>
              <w:spacing w:after="0" w:line="240" w:lineRule="auto"/>
              <w:jc w:val="right"/>
              <w:rPr>
                <w:rFonts w:cs="Arial"/>
                <w:b/>
                <w:bCs/>
                <w:color w:val="000000"/>
              </w:rPr>
            </w:pPr>
            <w:r w:rsidRPr="0082290B">
              <w:rPr>
                <w:rFonts w:cs="Arial"/>
                <w:b/>
                <w:bCs/>
                <w:color w:val="000000" w:themeColor="text1"/>
              </w:rPr>
              <w:t xml:space="preserve">135,618 </w:t>
            </w:r>
          </w:p>
        </w:tc>
        <w:tc>
          <w:tcPr>
            <w:tcW w:w="1418" w:type="dxa"/>
            <w:tcBorders>
              <w:top w:val="nil"/>
              <w:left w:val="nil"/>
              <w:bottom w:val="single" w:sz="4" w:space="0" w:color="auto"/>
              <w:right w:val="single" w:sz="4" w:space="0" w:color="auto"/>
            </w:tcBorders>
            <w:shd w:val="clear" w:color="auto" w:fill="auto"/>
            <w:noWrap/>
            <w:vAlign w:val="center"/>
          </w:tcPr>
          <w:p w14:paraId="682A05CB" w14:textId="59A77214" w:rsidR="00787D57" w:rsidRPr="00F568BB" w:rsidRDefault="00787D57" w:rsidP="110985B9">
            <w:pPr>
              <w:spacing w:after="0" w:line="240" w:lineRule="auto"/>
              <w:jc w:val="right"/>
              <w:rPr>
                <w:rFonts w:cs="Arial"/>
                <w:b/>
                <w:bCs/>
                <w:color w:val="000000"/>
              </w:rPr>
            </w:pPr>
            <w:r w:rsidRPr="0082290B">
              <w:rPr>
                <w:rFonts w:cs="Arial"/>
                <w:b/>
                <w:bCs/>
                <w:color w:val="000000" w:themeColor="text1"/>
              </w:rPr>
              <w:t xml:space="preserve">49,792 </w:t>
            </w:r>
          </w:p>
        </w:tc>
        <w:tc>
          <w:tcPr>
            <w:tcW w:w="1477" w:type="dxa"/>
            <w:tcBorders>
              <w:top w:val="nil"/>
              <w:left w:val="nil"/>
              <w:bottom w:val="single" w:sz="4" w:space="0" w:color="auto"/>
              <w:right w:val="single" w:sz="4" w:space="0" w:color="auto"/>
            </w:tcBorders>
            <w:shd w:val="clear" w:color="auto" w:fill="auto"/>
            <w:noWrap/>
            <w:vAlign w:val="center"/>
          </w:tcPr>
          <w:p w14:paraId="76CA0E40" w14:textId="1D4EEE66" w:rsidR="00787D57" w:rsidRPr="00F568BB" w:rsidRDefault="00787D57" w:rsidP="110985B9">
            <w:pPr>
              <w:spacing w:after="0" w:line="240" w:lineRule="auto"/>
              <w:jc w:val="right"/>
              <w:rPr>
                <w:rFonts w:cs="Arial"/>
                <w:b/>
                <w:bCs/>
                <w:color w:val="000000"/>
              </w:rPr>
            </w:pPr>
            <w:r w:rsidRPr="0082290B">
              <w:rPr>
                <w:rFonts w:cs="Arial"/>
                <w:b/>
                <w:bCs/>
                <w:color w:val="000000" w:themeColor="text1"/>
              </w:rPr>
              <w:t>2.3%</w:t>
            </w:r>
          </w:p>
        </w:tc>
      </w:tr>
    </w:tbl>
    <w:p w14:paraId="5FA82872" w14:textId="7480BA2D" w:rsidR="007121A4" w:rsidRPr="00E34073" w:rsidRDefault="007121A4" w:rsidP="110985B9">
      <w:pPr>
        <w:spacing w:before="120"/>
        <w:rPr>
          <w:rStyle w:val="Heading2Char"/>
          <w:rFonts w:hint="eastAsia"/>
        </w:rPr>
      </w:pPr>
      <w:r w:rsidRPr="110985B9">
        <w:rPr>
          <w:sz w:val="16"/>
          <w:szCs w:val="16"/>
        </w:rPr>
        <w:t xml:space="preserve">Source: SGS Economics and Planning, </w:t>
      </w:r>
      <w:r w:rsidR="00787D57" w:rsidRPr="110985B9">
        <w:rPr>
          <w:sz w:val="16"/>
          <w:szCs w:val="16"/>
        </w:rPr>
        <w:t>2022</w:t>
      </w:r>
      <w:r w:rsidR="00345820" w:rsidRPr="110985B9">
        <w:rPr>
          <w:sz w:val="16"/>
          <w:szCs w:val="16"/>
        </w:rPr>
        <w:t xml:space="preserve">.  </w:t>
      </w:r>
      <w:r w:rsidR="00915EAC" w:rsidRPr="110985B9">
        <w:rPr>
          <w:sz w:val="16"/>
          <w:szCs w:val="16"/>
        </w:rPr>
        <w:t xml:space="preserve"> Table shows rounded figures.</w:t>
      </w:r>
      <w:r w:rsidRPr="110985B9">
        <w:rPr>
          <w:sz w:val="16"/>
          <w:szCs w:val="16"/>
        </w:rPr>
        <w:br w:type="page"/>
      </w:r>
      <w:r w:rsidRPr="110985B9">
        <w:rPr>
          <w:rStyle w:val="Heading2Char"/>
        </w:rPr>
        <w:lastRenderedPageBreak/>
        <w:t xml:space="preserve">Jobs by small area </w:t>
      </w:r>
      <w:r w:rsidR="00D55F4F" w:rsidRPr="110985B9">
        <w:rPr>
          <w:rStyle w:val="Heading2Char"/>
        </w:rPr>
        <w:t>2021</w:t>
      </w:r>
      <w:r w:rsidRPr="110985B9">
        <w:rPr>
          <w:rStyle w:val="Heading2Char"/>
        </w:rPr>
        <w:t xml:space="preserve">, </w:t>
      </w:r>
      <w:r w:rsidR="00D55F4F" w:rsidRPr="110985B9">
        <w:rPr>
          <w:rStyle w:val="Heading2Char"/>
        </w:rPr>
        <w:t xml:space="preserve">2031 </w:t>
      </w:r>
      <w:r w:rsidRPr="110985B9">
        <w:rPr>
          <w:rStyle w:val="Heading2Char"/>
        </w:rPr>
        <w:t xml:space="preserve">and </w:t>
      </w:r>
      <w:r w:rsidR="00D55F4F" w:rsidRPr="110985B9">
        <w:rPr>
          <w:rStyle w:val="Heading2Char"/>
        </w:rPr>
        <w:t>2041</w:t>
      </w:r>
    </w:p>
    <w:tbl>
      <w:tblPr>
        <w:tblW w:w="9694" w:type="dxa"/>
        <w:tblLayout w:type="fixed"/>
        <w:tblLook w:val="04A0" w:firstRow="1" w:lastRow="0" w:firstColumn="1" w:lastColumn="0" w:noHBand="0" w:noVBand="1"/>
      </w:tblPr>
      <w:tblGrid>
        <w:gridCol w:w="3061"/>
        <w:gridCol w:w="1304"/>
        <w:gridCol w:w="1304"/>
        <w:gridCol w:w="1130"/>
        <w:gridCol w:w="1418"/>
        <w:gridCol w:w="1477"/>
      </w:tblGrid>
      <w:tr w:rsidR="00E57B1C" w:rsidRPr="00537E40" w14:paraId="55EB4F9E" w14:textId="77777777" w:rsidTr="110985B9">
        <w:trPr>
          <w:trHeight w:val="285"/>
        </w:trPr>
        <w:tc>
          <w:tcPr>
            <w:tcW w:w="3061" w:type="dxa"/>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0E381812" w14:textId="77777777" w:rsidR="00E57B1C" w:rsidRPr="00B07612" w:rsidRDefault="00E57B1C" w:rsidP="00E57B1C">
            <w:pPr>
              <w:spacing w:after="0" w:line="240" w:lineRule="auto"/>
              <w:rPr>
                <w:rFonts w:eastAsia="Times New Roman" w:cs="Arial"/>
                <w:b/>
                <w:bCs/>
                <w:color w:val="000000"/>
                <w:szCs w:val="20"/>
                <w:lang w:eastAsia="en-AU"/>
              </w:rPr>
            </w:pPr>
            <w:r>
              <w:rPr>
                <w:rFonts w:eastAsia="Times New Roman" w:cs="Arial"/>
                <w:b/>
                <w:bCs/>
                <w:color w:val="000000"/>
                <w:szCs w:val="20"/>
                <w:lang w:eastAsia="en-AU"/>
              </w:rPr>
              <w:t>CLUE small area</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EC3A3" w14:textId="54F0A769" w:rsidR="00E57B1C" w:rsidRPr="00B07612" w:rsidRDefault="00D55F4F"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2021</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5CC61" w14:textId="587B921E" w:rsidR="00E57B1C" w:rsidRPr="00B07612" w:rsidRDefault="00D55F4F"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2031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F8CDB" w14:textId="6AAC282D" w:rsidR="00E57B1C" w:rsidRPr="00B07612" w:rsidRDefault="00D55F4F"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D3DA409" w14:textId="1F47D5A4"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 xml:space="preserve">Change </w:t>
            </w:r>
            <w:r w:rsidR="00D55F4F" w:rsidRPr="110985B9">
              <w:rPr>
                <w:rFonts w:eastAsia="Times New Roman" w:cs="Arial"/>
                <w:b/>
                <w:bCs/>
                <w:color w:val="000000" w:themeColor="text1"/>
                <w:lang w:eastAsia="en-AU"/>
              </w:rPr>
              <w:t>2021</w:t>
            </w:r>
            <w:r w:rsidRPr="110985B9">
              <w:rPr>
                <w:rFonts w:eastAsia="Times New Roman" w:cs="Arial"/>
                <w:b/>
                <w:bCs/>
                <w:color w:val="000000" w:themeColor="text1"/>
                <w:lang w:eastAsia="en-AU"/>
              </w:rPr>
              <w:t>-</w:t>
            </w:r>
            <w:r w:rsidR="00D55F4F" w:rsidRPr="110985B9">
              <w:rPr>
                <w:rFonts w:eastAsia="Times New Roman" w:cs="Arial"/>
                <w:b/>
                <w:bCs/>
                <w:color w:val="000000" w:themeColor="text1"/>
                <w:lang w:eastAsia="en-AU"/>
              </w:rPr>
              <w:t>2041</w:t>
            </w:r>
          </w:p>
        </w:tc>
        <w:tc>
          <w:tcPr>
            <w:tcW w:w="1477" w:type="dxa"/>
            <w:tcBorders>
              <w:top w:val="single" w:sz="4" w:space="0" w:color="auto"/>
              <w:left w:val="nil"/>
              <w:bottom w:val="single" w:sz="4" w:space="0" w:color="auto"/>
              <w:right w:val="single" w:sz="4" w:space="0" w:color="auto"/>
            </w:tcBorders>
            <w:shd w:val="clear" w:color="auto" w:fill="auto"/>
            <w:vAlign w:val="center"/>
          </w:tcPr>
          <w:p w14:paraId="15D16330" w14:textId="223A41E9"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 xml:space="preserve">Avg. Annual Growth Rate </w:t>
            </w:r>
            <w:r w:rsidR="00D55F4F" w:rsidRPr="110985B9">
              <w:rPr>
                <w:rFonts w:eastAsia="Times New Roman" w:cs="Arial"/>
                <w:b/>
                <w:bCs/>
                <w:color w:val="000000" w:themeColor="text1"/>
                <w:lang w:eastAsia="en-AU"/>
              </w:rPr>
              <w:t>2021</w:t>
            </w:r>
            <w:r w:rsidRPr="110985B9">
              <w:rPr>
                <w:rFonts w:eastAsia="Times New Roman" w:cs="Arial"/>
                <w:b/>
                <w:bCs/>
                <w:color w:val="000000" w:themeColor="text1"/>
                <w:lang w:eastAsia="en-AU"/>
              </w:rPr>
              <w:t>-</w:t>
            </w:r>
            <w:r w:rsidR="00D55F4F" w:rsidRPr="110985B9">
              <w:rPr>
                <w:rFonts w:eastAsia="Times New Roman" w:cs="Arial"/>
                <w:b/>
                <w:bCs/>
                <w:color w:val="000000" w:themeColor="text1"/>
                <w:lang w:eastAsia="en-AU"/>
              </w:rPr>
              <w:t>2041</w:t>
            </w:r>
          </w:p>
        </w:tc>
      </w:tr>
      <w:tr w:rsidR="00D55F4F" w:rsidRPr="00537E40" w14:paraId="70A57F0A"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71C0D065" w14:textId="77777777" w:rsidR="00D55F4F" w:rsidRDefault="00D55F4F" w:rsidP="00D55F4F">
            <w:pPr>
              <w:spacing w:after="0" w:line="240" w:lineRule="auto"/>
              <w:rPr>
                <w:rFonts w:cs="Arial"/>
                <w:b/>
                <w:bCs/>
                <w:color w:val="000000"/>
                <w:szCs w:val="20"/>
                <w:lang w:eastAsia="en-AU"/>
              </w:rPr>
            </w:pPr>
            <w:r>
              <w:rPr>
                <w:rFonts w:cs="Arial"/>
                <w:b/>
                <w:bCs/>
                <w:color w:val="000000"/>
                <w:szCs w:val="20"/>
              </w:rPr>
              <w:t>Carlton</w:t>
            </w:r>
          </w:p>
        </w:tc>
        <w:tc>
          <w:tcPr>
            <w:tcW w:w="1304" w:type="dxa"/>
            <w:tcBorders>
              <w:top w:val="nil"/>
              <w:left w:val="nil"/>
              <w:bottom w:val="single" w:sz="4" w:space="0" w:color="auto"/>
              <w:right w:val="single" w:sz="4" w:space="0" w:color="auto"/>
            </w:tcBorders>
            <w:shd w:val="clear" w:color="auto" w:fill="auto"/>
            <w:noWrap/>
            <w:vAlign w:val="center"/>
          </w:tcPr>
          <w:p w14:paraId="412D3D10" w14:textId="7827585A" w:rsidR="00D55F4F" w:rsidRDefault="00D55F4F" w:rsidP="110985B9">
            <w:pPr>
              <w:spacing w:after="0" w:line="240" w:lineRule="auto"/>
              <w:jc w:val="right"/>
              <w:rPr>
                <w:rFonts w:cs="Arial"/>
                <w:color w:val="000000"/>
              </w:rPr>
            </w:pPr>
            <w:r w:rsidRPr="0082290B">
              <w:rPr>
                <w:rFonts w:cs="Arial"/>
                <w:color w:val="000000" w:themeColor="text1"/>
              </w:rPr>
              <w:t xml:space="preserve">15,139 </w:t>
            </w:r>
          </w:p>
        </w:tc>
        <w:tc>
          <w:tcPr>
            <w:tcW w:w="1304" w:type="dxa"/>
            <w:tcBorders>
              <w:top w:val="nil"/>
              <w:left w:val="nil"/>
              <w:bottom w:val="single" w:sz="4" w:space="0" w:color="auto"/>
              <w:right w:val="single" w:sz="4" w:space="0" w:color="auto"/>
            </w:tcBorders>
            <w:shd w:val="clear" w:color="auto" w:fill="auto"/>
            <w:noWrap/>
            <w:vAlign w:val="center"/>
          </w:tcPr>
          <w:p w14:paraId="1BA51672" w14:textId="0B2ADDAA" w:rsidR="00D55F4F" w:rsidRDefault="00D55F4F" w:rsidP="110985B9">
            <w:pPr>
              <w:spacing w:after="0" w:line="240" w:lineRule="auto"/>
              <w:jc w:val="right"/>
              <w:rPr>
                <w:rFonts w:cs="Arial"/>
                <w:color w:val="000000"/>
              </w:rPr>
            </w:pPr>
            <w:r w:rsidRPr="0082290B">
              <w:rPr>
                <w:rFonts w:cs="Arial"/>
                <w:color w:val="000000" w:themeColor="text1"/>
              </w:rPr>
              <w:t xml:space="preserve">22,878 </w:t>
            </w:r>
          </w:p>
        </w:tc>
        <w:tc>
          <w:tcPr>
            <w:tcW w:w="1130" w:type="dxa"/>
            <w:tcBorders>
              <w:top w:val="nil"/>
              <w:left w:val="nil"/>
              <w:bottom w:val="single" w:sz="4" w:space="0" w:color="auto"/>
              <w:right w:val="single" w:sz="4" w:space="0" w:color="auto"/>
            </w:tcBorders>
            <w:shd w:val="clear" w:color="auto" w:fill="auto"/>
            <w:noWrap/>
            <w:vAlign w:val="center"/>
          </w:tcPr>
          <w:p w14:paraId="6A4F1CAB" w14:textId="5D37E643" w:rsidR="00D55F4F" w:rsidRDefault="00D55F4F" w:rsidP="110985B9">
            <w:pPr>
              <w:spacing w:after="0" w:line="240" w:lineRule="auto"/>
              <w:jc w:val="right"/>
              <w:rPr>
                <w:rFonts w:cs="Arial"/>
                <w:color w:val="000000"/>
              </w:rPr>
            </w:pPr>
            <w:r w:rsidRPr="0082290B">
              <w:rPr>
                <w:rFonts w:cs="Arial"/>
                <w:color w:val="000000" w:themeColor="text1"/>
              </w:rPr>
              <w:t xml:space="preserve">27,584 </w:t>
            </w:r>
          </w:p>
        </w:tc>
        <w:tc>
          <w:tcPr>
            <w:tcW w:w="1418" w:type="dxa"/>
            <w:tcBorders>
              <w:top w:val="nil"/>
              <w:left w:val="nil"/>
              <w:bottom w:val="single" w:sz="4" w:space="0" w:color="auto"/>
              <w:right w:val="single" w:sz="4" w:space="0" w:color="auto"/>
            </w:tcBorders>
            <w:shd w:val="clear" w:color="auto" w:fill="auto"/>
            <w:noWrap/>
            <w:vAlign w:val="center"/>
          </w:tcPr>
          <w:p w14:paraId="50ACCD9D" w14:textId="327CFC68" w:rsidR="00D55F4F" w:rsidRDefault="00D55F4F" w:rsidP="110985B9">
            <w:pPr>
              <w:spacing w:after="0" w:line="240" w:lineRule="auto"/>
              <w:jc w:val="right"/>
              <w:rPr>
                <w:rFonts w:cs="Arial"/>
                <w:color w:val="000000"/>
              </w:rPr>
            </w:pPr>
            <w:r w:rsidRPr="0082290B">
              <w:rPr>
                <w:rFonts w:cs="Arial"/>
                <w:color w:val="000000" w:themeColor="text1"/>
              </w:rPr>
              <w:t xml:space="preserve">12,445 </w:t>
            </w:r>
          </w:p>
        </w:tc>
        <w:tc>
          <w:tcPr>
            <w:tcW w:w="1477" w:type="dxa"/>
            <w:tcBorders>
              <w:top w:val="nil"/>
              <w:left w:val="nil"/>
              <w:bottom w:val="single" w:sz="4" w:space="0" w:color="auto"/>
              <w:right w:val="single" w:sz="4" w:space="0" w:color="auto"/>
            </w:tcBorders>
            <w:shd w:val="clear" w:color="auto" w:fill="auto"/>
            <w:noWrap/>
            <w:vAlign w:val="center"/>
          </w:tcPr>
          <w:p w14:paraId="270723C2" w14:textId="63DA2E0C" w:rsidR="00D55F4F" w:rsidRDefault="00D55F4F" w:rsidP="110985B9">
            <w:pPr>
              <w:spacing w:after="0" w:line="240" w:lineRule="auto"/>
              <w:jc w:val="right"/>
              <w:rPr>
                <w:rFonts w:cs="Arial"/>
                <w:color w:val="000000"/>
              </w:rPr>
            </w:pPr>
            <w:r w:rsidRPr="0082290B">
              <w:rPr>
                <w:rFonts w:cs="Arial"/>
                <w:color w:val="000000" w:themeColor="text1"/>
              </w:rPr>
              <w:t>3.0%</w:t>
            </w:r>
          </w:p>
        </w:tc>
      </w:tr>
      <w:tr w:rsidR="00D55F4F" w:rsidRPr="00537E40" w14:paraId="0BFF5BF1"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081E42E9" w14:textId="77777777" w:rsidR="00D55F4F" w:rsidRDefault="00D55F4F" w:rsidP="00D55F4F">
            <w:pPr>
              <w:spacing w:after="0"/>
              <w:rPr>
                <w:rFonts w:cs="Arial"/>
                <w:b/>
                <w:bCs/>
                <w:color w:val="000000"/>
                <w:szCs w:val="20"/>
              </w:rPr>
            </w:pPr>
            <w:r>
              <w:rPr>
                <w:rFonts w:cs="Arial"/>
                <w:b/>
                <w:bCs/>
                <w:color w:val="000000"/>
                <w:szCs w:val="20"/>
              </w:rPr>
              <w:t>Docklands</w:t>
            </w:r>
          </w:p>
        </w:tc>
        <w:tc>
          <w:tcPr>
            <w:tcW w:w="1304" w:type="dxa"/>
            <w:tcBorders>
              <w:top w:val="nil"/>
              <w:left w:val="nil"/>
              <w:bottom w:val="single" w:sz="4" w:space="0" w:color="auto"/>
              <w:right w:val="single" w:sz="4" w:space="0" w:color="auto"/>
            </w:tcBorders>
            <w:shd w:val="clear" w:color="auto" w:fill="auto"/>
            <w:noWrap/>
            <w:vAlign w:val="center"/>
          </w:tcPr>
          <w:p w14:paraId="2486DC4F" w14:textId="689351B3" w:rsidR="00D55F4F" w:rsidRDefault="00D55F4F" w:rsidP="110985B9">
            <w:pPr>
              <w:spacing w:after="0" w:line="240" w:lineRule="auto"/>
              <w:jc w:val="right"/>
              <w:rPr>
                <w:rFonts w:cs="Arial"/>
                <w:color w:val="000000"/>
              </w:rPr>
            </w:pPr>
            <w:r w:rsidRPr="0082290B">
              <w:rPr>
                <w:rFonts w:cs="Arial"/>
                <w:color w:val="000000" w:themeColor="text1"/>
              </w:rPr>
              <w:t xml:space="preserve">73,021 </w:t>
            </w:r>
          </w:p>
        </w:tc>
        <w:tc>
          <w:tcPr>
            <w:tcW w:w="1304" w:type="dxa"/>
            <w:tcBorders>
              <w:top w:val="nil"/>
              <w:left w:val="nil"/>
              <w:bottom w:val="single" w:sz="4" w:space="0" w:color="auto"/>
              <w:right w:val="single" w:sz="4" w:space="0" w:color="auto"/>
            </w:tcBorders>
            <w:shd w:val="clear" w:color="auto" w:fill="auto"/>
            <w:noWrap/>
            <w:vAlign w:val="center"/>
          </w:tcPr>
          <w:p w14:paraId="1966513A" w14:textId="1556BC23" w:rsidR="00D55F4F" w:rsidRDefault="00D55F4F" w:rsidP="110985B9">
            <w:pPr>
              <w:spacing w:after="0" w:line="240" w:lineRule="auto"/>
              <w:jc w:val="right"/>
              <w:rPr>
                <w:rFonts w:cs="Arial"/>
                <w:color w:val="000000"/>
              </w:rPr>
            </w:pPr>
            <w:r w:rsidRPr="0082290B">
              <w:rPr>
                <w:rFonts w:cs="Arial"/>
                <w:color w:val="000000" w:themeColor="text1"/>
              </w:rPr>
              <w:t xml:space="preserve">85,041 </w:t>
            </w:r>
          </w:p>
        </w:tc>
        <w:tc>
          <w:tcPr>
            <w:tcW w:w="1130" w:type="dxa"/>
            <w:tcBorders>
              <w:top w:val="nil"/>
              <w:left w:val="nil"/>
              <w:bottom w:val="single" w:sz="4" w:space="0" w:color="auto"/>
              <w:right w:val="single" w:sz="4" w:space="0" w:color="auto"/>
            </w:tcBorders>
            <w:shd w:val="clear" w:color="auto" w:fill="auto"/>
            <w:noWrap/>
            <w:vAlign w:val="center"/>
          </w:tcPr>
          <w:p w14:paraId="4D72579C" w14:textId="0FD34E85" w:rsidR="00D55F4F" w:rsidRDefault="00D55F4F" w:rsidP="110985B9">
            <w:pPr>
              <w:spacing w:after="0" w:line="240" w:lineRule="auto"/>
              <w:jc w:val="right"/>
              <w:rPr>
                <w:rFonts w:cs="Arial"/>
                <w:color w:val="000000"/>
              </w:rPr>
            </w:pPr>
            <w:r w:rsidRPr="0082290B">
              <w:rPr>
                <w:rFonts w:cs="Arial"/>
                <w:color w:val="000000" w:themeColor="text1"/>
              </w:rPr>
              <w:t xml:space="preserve">93,783 </w:t>
            </w:r>
          </w:p>
        </w:tc>
        <w:tc>
          <w:tcPr>
            <w:tcW w:w="1418" w:type="dxa"/>
            <w:tcBorders>
              <w:top w:val="nil"/>
              <w:left w:val="nil"/>
              <w:bottom w:val="single" w:sz="4" w:space="0" w:color="auto"/>
              <w:right w:val="single" w:sz="4" w:space="0" w:color="auto"/>
            </w:tcBorders>
            <w:shd w:val="clear" w:color="auto" w:fill="auto"/>
            <w:noWrap/>
            <w:vAlign w:val="center"/>
          </w:tcPr>
          <w:p w14:paraId="4DF88B73" w14:textId="19003DDC" w:rsidR="00D55F4F" w:rsidRDefault="00D55F4F" w:rsidP="110985B9">
            <w:pPr>
              <w:spacing w:after="0" w:line="240" w:lineRule="auto"/>
              <w:jc w:val="right"/>
              <w:rPr>
                <w:rFonts w:cs="Arial"/>
                <w:color w:val="000000"/>
              </w:rPr>
            </w:pPr>
            <w:r w:rsidRPr="0082290B">
              <w:rPr>
                <w:rFonts w:cs="Arial"/>
                <w:color w:val="000000" w:themeColor="text1"/>
              </w:rPr>
              <w:t xml:space="preserve">20,762 </w:t>
            </w:r>
          </w:p>
        </w:tc>
        <w:tc>
          <w:tcPr>
            <w:tcW w:w="1477" w:type="dxa"/>
            <w:tcBorders>
              <w:top w:val="nil"/>
              <w:left w:val="nil"/>
              <w:bottom w:val="single" w:sz="4" w:space="0" w:color="auto"/>
              <w:right w:val="single" w:sz="4" w:space="0" w:color="auto"/>
            </w:tcBorders>
            <w:shd w:val="clear" w:color="auto" w:fill="auto"/>
            <w:noWrap/>
            <w:vAlign w:val="center"/>
          </w:tcPr>
          <w:p w14:paraId="40C919D1" w14:textId="364E839B" w:rsidR="00D55F4F" w:rsidRDefault="00D55F4F" w:rsidP="110985B9">
            <w:pPr>
              <w:spacing w:after="0" w:line="240" w:lineRule="auto"/>
              <w:jc w:val="right"/>
              <w:rPr>
                <w:rFonts w:cs="Arial"/>
                <w:color w:val="000000"/>
              </w:rPr>
            </w:pPr>
            <w:r w:rsidRPr="0082290B">
              <w:rPr>
                <w:rFonts w:cs="Arial"/>
                <w:color w:val="000000" w:themeColor="text1"/>
              </w:rPr>
              <w:t>1.3%</w:t>
            </w:r>
          </w:p>
        </w:tc>
      </w:tr>
      <w:tr w:rsidR="00D55F4F" w:rsidRPr="00537E40" w14:paraId="76ACD290"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7445DEF6" w14:textId="77777777" w:rsidR="00D55F4F" w:rsidRDefault="00D55F4F" w:rsidP="00D55F4F">
            <w:pPr>
              <w:spacing w:after="0"/>
              <w:rPr>
                <w:rFonts w:cs="Arial"/>
                <w:b/>
                <w:bCs/>
                <w:color w:val="000000"/>
                <w:szCs w:val="20"/>
              </w:rPr>
            </w:pPr>
            <w:r>
              <w:rPr>
                <w:rFonts w:cs="Arial"/>
                <w:b/>
                <w:bCs/>
                <w:color w:val="000000"/>
                <w:szCs w:val="20"/>
              </w:rPr>
              <w:t>East Melbourne</w:t>
            </w:r>
          </w:p>
        </w:tc>
        <w:tc>
          <w:tcPr>
            <w:tcW w:w="1304" w:type="dxa"/>
            <w:tcBorders>
              <w:top w:val="nil"/>
              <w:left w:val="nil"/>
              <w:bottom w:val="single" w:sz="4" w:space="0" w:color="auto"/>
              <w:right w:val="single" w:sz="4" w:space="0" w:color="auto"/>
            </w:tcBorders>
            <w:shd w:val="clear" w:color="auto" w:fill="auto"/>
            <w:noWrap/>
            <w:vAlign w:val="center"/>
          </w:tcPr>
          <w:p w14:paraId="4D789E7C" w14:textId="0A2AE4A4" w:rsidR="00D55F4F" w:rsidRDefault="00D55F4F" w:rsidP="110985B9">
            <w:pPr>
              <w:spacing w:after="0" w:line="240" w:lineRule="auto"/>
              <w:jc w:val="right"/>
              <w:rPr>
                <w:rFonts w:cs="Arial"/>
                <w:color w:val="000000"/>
              </w:rPr>
            </w:pPr>
            <w:r w:rsidRPr="0082290B">
              <w:rPr>
                <w:rFonts w:cs="Arial"/>
                <w:color w:val="000000" w:themeColor="text1"/>
              </w:rPr>
              <w:t xml:space="preserve">20,682 </w:t>
            </w:r>
          </w:p>
        </w:tc>
        <w:tc>
          <w:tcPr>
            <w:tcW w:w="1304" w:type="dxa"/>
            <w:tcBorders>
              <w:top w:val="nil"/>
              <w:left w:val="nil"/>
              <w:bottom w:val="single" w:sz="4" w:space="0" w:color="auto"/>
              <w:right w:val="single" w:sz="4" w:space="0" w:color="auto"/>
            </w:tcBorders>
            <w:shd w:val="clear" w:color="auto" w:fill="auto"/>
            <w:noWrap/>
            <w:vAlign w:val="center"/>
          </w:tcPr>
          <w:p w14:paraId="40B21200" w14:textId="5EB6406E" w:rsidR="00D55F4F" w:rsidRDefault="00D55F4F" w:rsidP="110985B9">
            <w:pPr>
              <w:spacing w:after="0" w:line="240" w:lineRule="auto"/>
              <w:jc w:val="right"/>
              <w:rPr>
                <w:rFonts w:cs="Arial"/>
                <w:color w:val="000000"/>
              </w:rPr>
            </w:pPr>
            <w:r w:rsidRPr="0082290B">
              <w:rPr>
                <w:rFonts w:cs="Arial"/>
                <w:color w:val="000000" w:themeColor="text1"/>
              </w:rPr>
              <w:t xml:space="preserve">25,596 </w:t>
            </w:r>
          </w:p>
        </w:tc>
        <w:tc>
          <w:tcPr>
            <w:tcW w:w="1130" w:type="dxa"/>
            <w:tcBorders>
              <w:top w:val="nil"/>
              <w:left w:val="nil"/>
              <w:bottom w:val="single" w:sz="4" w:space="0" w:color="auto"/>
              <w:right w:val="single" w:sz="4" w:space="0" w:color="auto"/>
            </w:tcBorders>
            <w:shd w:val="clear" w:color="auto" w:fill="auto"/>
            <w:noWrap/>
            <w:vAlign w:val="center"/>
          </w:tcPr>
          <w:p w14:paraId="13674471" w14:textId="17752D46" w:rsidR="00D55F4F" w:rsidRDefault="00D55F4F" w:rsidP="110985B9">
            <w:pPr>
              <w:spacing w:after="0" w:line="240" w:lineRule="auto"/>
              <w:jc w:val="right"/>
              <w:rPr>
                <w:rFonts w:cs="Arial"/>
                <w:color w:val="000000"/>
              </w:rPr>
            </w:pPr>
            <w:r w:rsidRPr="0082290B">
              <w:rPr>
                <w:rFonts w:cs="Arial"/>
                <w:color w:val="000000" w:themeColor="text1"/>
              </w:rPr>
              <w:t xml:space="preserve">28,053 </w:t>
            </w:r>
          </w:p>
        </w:tc>
        <w:tc>
          <w:tcPr>
            <w:tcW w:w="1418" w:type="dxa"/>
            <w:tcBorders>
              <w:top w:val="nil"/>
              <w:left w:val="nil"/>
              <w:bottom w:val="single" w:sz="4" w:space="0" w:color="auto"/>
              <w:right w:val="single" w:sz="4" w:space="0" w:color="auto"/>
            </w:tcBorders>
            <w:shd w:val="clear" w:color="auto" w:fill="auto"/>
            <w:noWrap/>
            <w:vAlign w:val="center"/>
          </w:tcPr>
          <w:p w14:paraId="52741742" w14:textId="7BDC9C8A" w:rsidR="00D55F4F" w:rsidRDefault="00D55F4F" w:rsidP="110985B9">
            <w:pPr>
              <w:spacing w:after="0" w:line="240" w:lineRule="auto"/>
              <w:jc w:val="right"/>
              <w:rPr>
                <w:rFonts w:cs="Arial"/>
                <w:color w:val="000000"/>
              </w:rPr>
            </w:pPr>
            <w:r w:rsidRPr="0082290B">
              <w:rPr>
                <w:rFonts w:cs="Arial"/>
                <w:color w:val="000000" w:themeColor="text1"/>
              </w:rPr>
              <w:t xml:space="preserve">7,371 </w:t>
            </w:r>
          </w:p>
        </w:tc>
        <w:tc>
          <w:tcPr>
            <w:tcW w:w="1477" w:type="dxa"/>
            <w:tcBorders>
              <w:top w:val="nil"/>
              <w:left w:val="nil"/>
              <w:bottom w:val="single" w:sz="4" w:space="0" w:color="auto"/>
              <w:right w:val="single" w:sz="4" w:space="0" w:color="auto"/>
            </w:tcBorders>
            <w:shd w:val="clear" w:color="auto" w:fill="auto"/>
            <w:noWrap/>
            <w:vAlign w:val="center"/>
          </w:tcPr>
          <w:p w14:paraId="2C347B05" w14:textId="767A5C8F" w:rsidR="00D55F4F" w:rsidRDefault="00D55F4F" w:rsidP="110985B9">
            <w:pPr>
              <w:spacing w:after="0" w:line="240" w:lineRule="auto"/>
              <w:jc w:val="right"/>
              <w:rPr>
                <w:rFonts w:cs="Arial"/>
                <w:color w:val="000000"/>
              </w:rPr>
            </w:pPr>
            <w:r w:rsidRPr="0082290B">
              <w:rPr>
                <w:rFonts w:cs="Arial"/>
                <w:color w:val="000000" w:themeColor="text1"/>
              </w:rPr>
              <w:t>1.5%</w:t>
            </w:r>
          </w:p>
        </w:tc>
      </w:tr>
      <w:tr w:rsidR="00D55F4F" w:rsidRPr="00537E40" w14:paraId="6FC81B0A"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155EBA44" w14:textId="77777777" w:rsidR="00D55F4F" w:rsidRDefault="00D55F4F" w:rsidP="00D55F4F">
            <w:pPr>
              <w:spacing w:after="0"/>
              <w:rPr>
                <w:rFonts w:cs="Arial"/>
                <w:b/>
                <w:bCs/>
                <w:color w:val="000000"/>
                <w:szCs w:val="20"/>
              </w:rPr>
            </w:pPr>
            <w:r>
              <w:rPr>
                <w:rFonts w:cs="Arial"/>
                <w:b/>
                <w:bCs/>
                <w:color w:val="000000"/>
                <w:szCs w:val="20"/>
              </w:rPr>
              <w:t>Kensington</w:t>
            </w:r>
          </w:p>
        </w:tc>
        <w:tc>
          <w:tcPr>
            <w:tcW w:w="1304" w:type="dxa"/>
            <w:tcBorders>
              <w:top w:val="nil"/>
              <w:left w:val="nil"/>
              <w:bottom w:val="single" w:sz="4" w:space="0" w:color="auto"/>
              <w:right w:val="single" w:sz="4" w:space="0" w:color="auto"/>
            </w:tcBorders>
            <w:shd w:val="clear" w:color="auto" w:fill="auto"/>
            <w:noWrap/>
            <w:vAlign w:val="center"/>
          </w:tcPr>
          <w:p w14:paraId="00AEA7DF" w14:textId="6AEE1A24" w:rsidR="00D55F4F" w:rsidRDefault="00D55F4F" w:rsidP="110985B9">
            <w:pPr>
              <w:spacing w:after="0" w:line="240" w:lineRule="auto"/>
              <w:jc w:val="right"/>
              <w:rPr>
                <w:rFonts w:cs="Arial"/>
                <w:color w:val="000000"/>
              </w:rPr>
            </w:pPr>
            <w:r w:rsidRPr="0082290B">
              <w:rPr>
                <w:rFonts w:cs="Arial"/>
                <w:color w:val="000000" w:themeColor="text1"/>
              </w:rPr>
              <w:t xml:space="preserve">7,814 </w:t>
            </w:r>
          </w:p>
        </w:tc>
        <w:tc>
          <w:tcPr>
            <w:tcW w:w="1304" w:type="dxa"/>
            <w:tcBorders>
              <w:top w:val="nil"/>
              <w:left w:val="nil"/>
              <w:bottom w:val="single" w:sz="4" w:space="0" w:color="auto"/>
              <w:right w:val="single" w:sz="4" w:space="0" w:color="auto"/>
            </w:tcBorders>
            <w:shd w:val="clear" w:color="auto" w:fill="auto"/>
            <w:noWrap/>
            <w:vAlign w:val="center"/>
          </w:tcPr>
          <w:p w14:paraId="18B2FF4B" w14:textId="6A6F4A23" w:rsidR="00D55F4F" w:rsidRDefault="00D55F4F" w:rsidP="110985B9">
            <w:pPr>
              <w:spacing w:after="0" w:line="240" w:lineRule="auto"/>
              <w:jc w:val="right"/>
              <w:rPr>
                <w:rFonts w:cs="Arial"/>
                <w:color w:val="000000"/>
              </w:rPr>
            </w:pPr>
            <w:r w:rsidRPr="0082290B">
              <w:rPr>
                <w:rFonts w:cs="Arial"/>
                <w:color w:val="000000" w:themeColor="text1"/>
              </w:rPr>
              <w:t xml:space="preserve">10,023 </w:t>
            </w:r>
          </w:p>
        </w:tc>
        <w:tc>
          <w:tcPr>
            <w:tcW w:w="1130" w:type="dxa"/>
            <w:tcBorders>
              <w:top w:val="nil"/>
              <w:left w:val="nil"/>
              <w:bottom w:val="single" w:sz="4" w:space="0" w:color="auto"/>
              <w:right w:val="single" w:sz="4" w:space="0" w:color="auto"/>
            </w:tcBorders>
            <w:shd w:val="clear" w:color="auto" w:fill="auto"/>
            <w:noWrap/>
            <w:vAlign w:val="center"/>
          </w:tcPr>
          <w:p w14:paraId="17AEAF38" w14:textId="4DFF016F" w:rsidR="00D55F4F" w:rsidRDefault="00D55F4F" w:rsidP="110985B9">
            <w:pPr>
              <w:spacing w:after="0" w:line="240" w:lineRule="auto"/>
              <w:jc w:val="right"/>
              <w:rPr>
                <w:rFonts w:cs="Arial"/>
                <w:color w:val="000000"/>
              </w:rPr>
            </w:pPr>
            <w:r w:rsidRPr="0082290B">
              <w:rPr>
                <w:rFonts w:cs="Arial"/>
                <w:color w:val="000000" w:themeColor="text1"/>
              </w:rPr>
              <w:t xml:space="preserve">13,732 </w:t>
            </w:r>
          </w:p>
        </w:tc>
        <w:tc>
          <w:tcPr>
            <w:tcW w:w="1418" w:type="dxa"/>
            <w:tcBorders>
              <w:top w:val="nil"/>
              <w:left w:val="nil"/>
              <w:bottom w:val="single" w:sz="4" w:space="0" w:color="auto"/>
              <w:right w:val="single" w:sz="4" w:space="0" w:color="auto"/>
            </w:tcBorders>
            <w:shd w:val="clear" w:color="auto" w:fill="auto"/>
            <w:noWrap/>
            <w:vAlign w:val="center"/>
          </w:tcPr>
          <w:p w14:paraId="41AA8E09" w14:textId="0D78368A" w:rsidR="00D55F4F" w:rsidRDefault="00D55F4F" w:rsidP="110985B9">
            <w:pPr>
              <w:spacing w:after="0" w:line="240" w:lineRule="auto"/>
              <w:jc w:val="right"/>
              <w:rPr>
                <w:rFonts w:cs="Arial"/>
                <w:color w:val="000000"/>
              </w:rPr>
            </w:pPr>
            <w:r w:rsidRPr="0082290B">
              <w:rPr>
                <w:rFonts w:cs="Arial"/>
                <w:color w:val="000000" w:themeColor="text1"/>
              </w:rPr>
              <w:t xml:space="preserve">5,918 </w:t>
            </w:r>
          </w:p>
        </w:tc>
        <w:tc>
          <w:tcPr>
            <w:tcW w:w="1477" w:type="dxa"/>
            <w:tcBorders>
              <w:top w:val="nil"/>
              <w:left w:val="nil"/>
              <w:bottom w:val="single" w:sz="4" w:space="0" w:color="auto"/>
              <w:right w:val="single" w:sz="4" w:space="0" w:color="auto"/>
            </w:tcBorders>
            <w:shd w:val="clear" w:color="auto" w:fill="auto"/>
            <w:noWrap/>
            <w:vAlign w:val="center"/>
          </w:tcPr>
          <w:p w14:paraId="1F96FC35" w14:textId="0B5A5379" w:rsidR="00D55F4F" w:rsidRDefault="00D55F4F" w:rsidP="110985B9">
            <w:pPr>
              <w:spacing w:after="0" w:line="240" w:lineRule="auto"/>
              <w:jc w:val="right"/>
              <w:rPr>
                <w:rFonts w:cs="Arial"/>
                <w:color w:val="000000"/>
              </w:rPr>
            </w:pPr>
            <w:r w:rsidRPr="0082290B">
              <w:rPr>
                <w:rFonts w:cs="Arial"/>
                <w:color w:val="000000" w:themeColor="text1"/>
              </w:rPr>
              <w:t>2.9%</w:t>
            </w:r>
          </w:p>
        </w:tc>
      </w:tr>
      <w:tr w:rsidR="00D55F4F" w:rsidRPr="00537E40" w14:paraId="5C644F63"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672C0574" w14:textId="77777777" w:rsidR="00D55F4F" w:rsidRDefault="00D55F4F" w:rsidP="00D55F4F">
            <w:pPr>
              <w:spacing w:after="0"/>
              <w:rPr>
                <w:rFonts w:cs="Arial"/>
                <w:b/>
                <w:bCs/>
                <w:color w:val="000000"/>
                <w:szCs w:val="20"/>
              </w:rPr>
            </w:pPr>
            <w:r>
              <w:rPr>
                <w:rFonts w:cs="Arial"/>
                <w:b/>
                <w:bCs/>
                <w:color w:val="000000"/>
                <w:szCs w:val="20"/>
              </w:rPr>
              <w:t>Melbourne (CBD)</w:t>
            </w:r>
          </w:p>
        </w:tc>
        <w:tc>
          <w:tcPr>
            <w:tcW w:w="1304" w:type="dxa"/>
            <w:tcBorders>
              <w:top w:val="nil"/>
              <w:left w:val="nil"/>
              <w:bottom w:val="single" w:sz="4" w:space="0" w:color="auto"/>
              <w:right w:val="single" w:sz="4" w:space="0" w:color="auto"/>
            </w:tcBorders>
            <w:shd w:val="clear" w:color="auto" w:fill="auto"/>
            <w:noWrap/>
            <w:vAlign w:val="center"/>
          </w:tcPr>
          <w:p w14:paraId="04CF86BF" w14:textId="1924B9CD" w:rsidR="00D55F4F" w:rsidRDefault="00D55F4F" w:rsidP="110985B9">
            <w:pPr>
              <w:spacing w:after="0" w:line="240" w:lineRule="auto"/>
              <w:jc w:val="right"/>
              <w:rPr>
                <w:rFonts w:cs="Arial"/>
                <w:color w:val="000000"/>
              </w:rPr>
            </w:pPr>
            <w:r w:rsidRPr="0082290B">
              <w:rPr>
                <w:rFonts w:cs="Arial"/>
                <w:color w:val="000000" w:themeColor="text1"/>
              </w:rPr>
              <w:t xml:space="preserve">217,913 </w:t>
            </w:r>
          </w:p>
        </w:tc>
        <w:tc>
          <w:tcPr>
            <w:tcW w:w="1304" w:type="dxa"/>
            <w:tcBorders>
              <w:top w:val="nil"/>
              <w:left w:val="nil"/>
              <w:bottom w:val="single" w:sz="4" w:space="0" w:color="auto"/>
              <w:right w:val="single" w:sz="4" w:space="0" w:color="auto"/>
            </w:tcBorders>
            <w:shd w:val="clear" w:color="auto" w:fill="auto"/>
            <w:noWrap/>
            <w:vAlign w:val="center"/>
          </w:tcPr>
          <w:p w14:paraId="26A160E1" w14:textId="0E54B884" w:rsidR="00D55F4F" w:rsidRDefault="00D55F4F" w:rsidP="110985B9">
            <w:pPr>
              <w:spacing w:after="0" w:line="240" w:lineRule="auto"/>
              <w:jc w:val="right"/>
              <w:rPr>
                <w:rFonts w:cs="Arial"/>
                <w:color w:val="000000"/>
              </w:rPr>
            </w:pPr>
            <w:r w:rsidRPr="0082290B">
              <w:rPr>
                <w:rFonts w:cs="Arial"/>
                <w:color w:val="000000" w:themeColor="text1"/>
              </w:rPr>
              <w:t xml:space="preserve">264,676 </w:t>
            </w:r>
          </w:p>
        </w:tc>
        <w:tc>
          <w:tcPr>
            <w:tcW w:w="1130" w:type="dxa"/>
            <w:tcBorders>
              <w:top w:val="nil"/>
              <w:left w:val="nil"/>
              <w:bottom w:val="single" w:sz="4" w:space="0" w:color="auto"/>
              <w:right w:val="single" w:sz="4" w:space="0" w:color="auto"/>
            </w:tcBorders>
            <w:shd w:val="clear" w:color="auto" w:fill="auto"/>
            <w:noWrap/>
            <w:vAlign w:val="center"/>
          </w:tcPr>
          <w:p w14:paraId="58EEC6CB" w14:textId="0368D438" w:rsidR="00D55F4F" w:rsidRDefault="00D55F4F" w:rsidP="110985B9">
            <w:pPr>
              <w:spacing w:after="0" w:line="240" w:lineRule="auto"/>
              <w:jc w:val="right"/>
              <w:rPr>
                <w:rFonts w:cs="Arial"/>
                <w:color w:val="000000"/>
              </w:rPr>
            </w:pPr>
            <w:r w:rsidRPr="0082290B">
              <w:rPr>
                <w:rFonts w:cs="Arial"/>
                <w:color w:val="000000" w:themeColor="text1"/>
              </w:rPr>
              <w:t xml:space="preserve">294,155 </w:t>
            </w:r>
          </w:p>
        </w:tc>
        <w:tc>
          <w:tcPr>
            <w:tcW w:w="1418" w:type="dxa"/>
            <w:tcBorders>
              <w:top w:val="nil"/>
              <w:left w:val="nil"/>
              <w:bottom w:val="single" w:sz="4" w:space="0" w:color="auto"/>
              <w:right w:val="single" w:sz="4" w:space="0" w:color="auto"/>
            </w:tcBorders>
            <w:shd w:val="clear" w:color="auto" w:fill="auto"/>
            <w:noWrap/>
            <w:vAlign w:val="center"/>
          </w:tcPr>
          <w:p w14:paraId="7697ADF4" w14:textId="744119A2" w:rsidR="00D55F4F" w:rsidRDefault="00D55F4F" w:rsidP="110985B9">
            <w:pPr>
              <w:spacing w:after="0" w:line="240" w:lineRule="auto"/>
              <w:jc w:val="right"/>
              <w:rPr>
                <w:rFonts w:cs="Arial"/>
                <w:color w:val="000000"/>
              </w:rPr>
            </w:pPr>
            <w:r w:rsidRPr="0082290B">
              <w:rPr>
                <w:rFonts w:cs="Arial"/>
                <w:color w:val="000000" w:themeColor="text1"/>
              </w:rPr>
              <w:t xml:space="preserve">76,242 </w:t>
            </w:r>
          </w:p>
        </w:tc>
        <w:tc>
          <w:tcPr>
            <w:tcW w:w="1477" w:type="dxa"/>
            <w:tcBorders>
              <w:top w:val="nil"/>
              <w:left w:val="nil"/>
              <w:bottom w:val="single" w:sz="4" w:space="0" w:color="auto"/>
              <w:right w:val="single" w:sz="4" w:space="0" w:color="auto"/>
            </w:tcBorders>
            <w:shd w:val="clear" w:color="auto" w:fill="auto"/>
            <w:noWrap/>
            <w:vAlign w:val="center"/>
          </w:tcPr>
          <w:p w14:paraId="782982B3" w14:textId="6195BB05" w:rsidR="00D55F4F" w:rsidRDefault="00D55F4F" w:rsidP="110985B9">
            <w:pPr>
              <w:spacing w:after="0" w:line="240" w:lineRule="auto"/>
              <w:jc w:val="right"/>
              <w:rPr>
                <w:rFonts w:cs="Arial"/>
                <w:color w:val="000000"/>
              </w:rPr>
            </w:pPr>
            <w:r w:rsidRPr="0082290B">
              <w:rPr>
                <w:rFonts w:cs="Arial"/>
                <w:color w:val="000000" w:themeColor="text1"/>
              </w:rPr>
              <w:t>1.5%</w:t>
            </w:r>
          </w:p>
        </w:tc>
      </w:tr>
      <w:tr w:rsidR="00D55F4F" w:rsidRPr="00537E40" w14:paraId="32E443A9"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2AC36257" w14:textId="77777777" w:rsidR="00D55F4F" w:rsidRDefault="00D55F4F" w:rsidP="00D55F4F">
            <w:pPr>
              <w:spacing w:after="0"/>
              <w:rPr>
                <w:rFonts w:cs="Arial"/>
                <w:b/>
                <w:bCs/>
                <w:color w:val="000000"/>
                <w:szCs w:val="20"/>
              </w:rPr>
            </w:pPr>
            <w:r>
              <w:rPr>
                <w:rFonts w:cs="Arial"/>
                <w:b/>
                <w:bCs/>
                <w:color w:val="000000"/>
                <w:szCs w:val="20"/>
              </w:rPr>
              <w:t>Melbourne (Remainder)</w:t>
            </w:r>
          </w:p>
        </w:tc>
        <w:tc>
          <w:tcPr>
            <w:tcW w:w="1304" w:type="dxa"/>
            <w:tcBorders>
              <w:top w:val="nil"/>
              <w:left w:val="nil"/>
              <w:bottom w:val="single" w:sz="4" w:space="0" w:color="auto"/>
              <w:right w:val="single" w:sz="4" w:space="0" w:color="auto"/>
            </w:tcBorders>
            <w:shd w:val="clear" w:color="auto" w:fill="auto"/>
            <w:noWrap/>
            <w:vAlign w:val="center"/>
          </w:tcPr>
          <w:p w14:paraId="1C7F7761" w14:textId="037BFE06" w:rsidR="00D55F4F" w:rsidRDefault="00D55F4F" w:rsidP="110985B9">
            <w:pPr>
              <w:spacing w:after="0" w:line="240" w:lineRule="auto"/>
              <w:jc w:val="right"/>
              <w:rPr>
                <w:rFonts w:cs="Arial"/>
                <w:color w:val="000000"/>
              </w:rPr>
            </w:pPr>
            <w:r w:rsidRPr="0082290B">
              <w:rPr>
                <w:rFonts w:cs="Arial"/>
                <w:color w:val="000000" w:themeColor="text1"/>
              </w:rPr>
              <w:t xml:space="preserve">23,088 </w:t>
            </w:r>
          </w:p>
        </w:tc>
        <w:tc>
          <w:tcPr>
            <w:tcW w:w="1304" w:type="dxa"/>
            <w:tcBorders>
              <w:top w:val="nil"/>
              <w:left w:val="nil"/>
              <w:bottom w:val="single" w:sz="4" w:space="0" w:color="auto"/>
              <w:right w:val="single" w:sz="4" w:space="0" w:color="auto"/>
            </w:tcBorders>
            <w:shd w:val="clear" w:color="auto" w:fill="auto"/>
            <w:noWrap/>
            <w:vAlign w:val="center"/>
          </w:tcPr>
          <w:p w14:paraId="4EFB91EC" w14:textId="78EB3E2A" w:rsidR="00D55F4F" w:rsidRDefault="00D55F4F" w:rsidP="110985B9">
            <w:pPr>
              <w:spacing w:after="0" w:line="240" w:lineRule="auto"/>
              <w:jc w:val="right"/>
              <w:rPr>
                <w:rFonts w:cs="Arial"/>
                <w:color w:val="000000"/>
              </w:rPr>
            </w:pPr>
            <w:r w:rsidRPr="0082290B">
              <w:rPr>
                <w:rFonts w:cs="Arial"/>
                <w:color w:val="000000" w:themeColor="text1"/>
              </w:rPr>
              <w:t xml:space="preserve">28,498 </w:t>
            </w:r>
          </w:p>
        </w:tc>
        <w:tc>
          <w:tcPr>
            <w:tcW w:w="1130" w:type="dxa"/>
            <w:tcBorders>
              <w:top w:val="nil"/>
              <w:left w:val="nil"/>
              <w:bottom w:val="single" w:sz="4" w:space="0" w:color="auto"/>
              <w:right w:val="single" w:sz="4" w:space="0" w:color="auto"/>
            </w:tcBorders>
            <w:shd w:val="clear" w:color="auto" w:fill="auto"/>
            <w:noWrap/>
            <w:vAlign w:val="center"/>
          </w:tcPr>
          <w:p w14:paraId="70DAF790" w14:textId="5A338EE2" w:rsidR="00D55F4F" w:rsidRDefault="00D55F4F" w:rsidP="110985B9">
            <w:pPr>
              <w:spacing w:after="0" w:line="240" w:lineRule="auto"/>
              <w:jc w:val="right"/>
              <w:rPr>
                <w:rFonts w:cs="Arial"/>
                <w:color w:val="000000"/>
              </w:rPr>
            </w:pPr>
            <w:r w:rsidRPr="0082290B">
              <w:rPr>
                <w:rFonts w:cs="Arial"/>
                <w:color w:val="000000" w:themeColor="text1"/>
              </w:rPr>
              <w:t xml:space="preserve">29,406 </w:t>
            </w:r>
          </w:p>
        </w:tc>
        <w:tc>
          <w:tcPr>
            <w:tcW w:w="1418" w:type="dxa"/>
            <w:tcBorders>
              <w:top w:val="nil"/>
              <w:left w:val="nil"/>
              <w:bottom w:val="single" w:sz="4" w:space="0" w:color="auto"/>
              <w:right w:val="single" w:sz="4" w:space="0" w:color="auto"/>
            </w:tcBorders>
            <w:shd w:val="clear" w:color="auto" w:fill="auto"/>
            <w:noWrap/>
            <w:vAlign w:val="center"/>
          </w:tcPr>
          <w:p w14:paraId="5C5B9D8F" w14:textId="441EDE77" w:rsidR="00D55F4F" w:rsidRDefault="00D55F4F" w:rsidP="110985B9">
            <w:pPr>
              <w:spacing w:after="0" w:line="240" w:lineRule="auto"/>
              <w:jc w:val="right"/>
              <w:rPr>
                <w:rFonts w:cs="Arial"/>
                <w:color w:val="000000"/>
              </w:rPr>
            </w:pPr>
            <w:r w:rsidRPr="0082290B">
              <w:rPr>
                <w:rFonts w:cs="Arial"/>
                <w:color w:val="000000" w:themeColor="text1"/>
              </w:rPr>
              <w:t xml:space="preserve">6,318 </w:t>
            </w:r>
          </w:p>
        </w:tc>
        <w:tc>
          <w:tcPr>
            <w:tcW w:w="1477" w:type="dxa"/>
            <w:tcBorders>
              <w:top w:val="nil"/>
              <w:left w:val="nil"/>
              <w:bottom w:val="single" w:sz="4" w:space="0" w:color="auto"/>
              <w:right w:val="single" w:sz="4" w:space="0" w:color="auto"/>
            </w:tcBorders>
            <w:shd w:val="clear" w:color="auto" w:fill="auto"/>
            <w:noWrap/>
            <w:vAlign w:val="center"/>
          </w:tcPr>
          <w:p w14:paraId="45C2A6EB" w14:textId="7DF83A31" w:rsidR="00D55F4F" w:rsidRDefault="00D55F4F" w:rsidP="110985B9">
            <w:pPr>
              <w:spacing w:after="0" w:line="240" w:lineRule="auto"/>
              <w:jc w:val="right"/>
              <w:rPr>
                <w:rFonts w:cs="Arial"/>
                <w:color w:val="000000"/>
              </w:rPr>
            </w:pPr>
            <w:r w:rsidRPr="0082290B">
              <w:rPr>
                <w:rFonts w:cs="Arial"/>
                <w:color w:val="000000" w:themeColor="text1"/>
              </w:rPr>
              <w:t>1.2%</w:t>
            </w:r>
          </w:p>
        </w:tc>
      </w:tr>
      <w:tr w:rsidR="00D55F4F" w:rsidRPr="00537E40" w14:paraId="7E81491D"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4E1C673A" w14:textId="77777777" w:rsidR="00D55F4F" w:rsidRDefault="00D55F4F" w:rsidP="00D55F4F">
            <w:pPr>
              <w:spacing w:after="0"/>
              <w:rPr>
                <w:rFonts w:cs="Arial"/>
                <w:b/>
                <w:bCs/>
                <w:color w:val="000000"/>
                <w:szCs w:val="20"/>
              </w:rPr>
            </w:pPr>
            <w:r>
              <w:rPr>
                <w:rFonts w:cs="Arial"/>
                <w:b/>
                <w:bCs/>
                <w:color w:val="000000"/>
                <w:szCs w:val="20"/>
              </w:rPr>
              <w:t>North Melbourne</w:t>
            </w:r>
          </w:p>
        </w:tc>
        <w:tc>
          <w:tcPr>
            <w:tcW w:w="1304" w:type="dxa"/>
            <w:tcBorders>
              <w:top w:val="nil"/>
              <w:left w:val="nil"/>
              <w:bottom w:val="single" w:sz="4" w:space="0" w:color="auto"/>
              <w:right w:val="single" w:sz="4" w:space="0" w:color="auto"/>
            </w:tcBorders>
            <w:shd w:val="clear" w:color="auto" w:fill="auto"/>
            <w:noWrap/>
            <w:vAlign w:val="center"/>
          </w:tcPr>
          <w:p w14:paraId="7C8E4D87" w14:textId="23C27BBA" w:rsidR="00D55F4F" w:rsidRDefault="00D55F4F" w:rsidP="110985B9">
            <w:pPr>
              <w:spacing w:after="0" w:line="240" w:lineRule="auto"/>
              <w:jc w:val="right"/>
              <w:rPr>
                <w:rFonts w:cs="Arial"/>
                <w:color w:val="000000"/>
              </w:rPr>
            </w:pPr>
            <w:r w:rsidRPr="0082290B">
              <w:rPr>
                <w:rFonts w:cs="Arial"/>
                <w:color w:val="000000" w:themeColor="text1"/>
              </w:rPr>
              <w:t xml:space="preserve">9,983 </w:t>
            </w:r>
          </w:p>
        </w:tc>
        <w:tc>
          <w:tcPr>
            <w:tcW w:w="1304" w:type="dxa"/>
            <w:tcBorders>
              <w:top w:val="nil"/>
              <w:left w:val="nil"/>
              <w:bottom w:val="single" w:sz="4" w:space="0" w:color="auto"/>
              <w:right w:val="single" w:sz="4" w:space="0" w:color="auto"/>
            </w:tcBorders>
            <w:shd w:val="clear" w:color="auto" w:fill="auto"/>
            <w:noWrap/>
            <w:vAlign w:val="center"/>
          </w:tcPr>
          <w:p w14:paraId="4AAB4C78" w14:textId="4704D69B" w:rsidR="00D55F4F" w:rsidRDefault="00D55F4F" w:rsidP="110985B9">
            <w:pPr>
              <w:spacing w:after="0" w:line="240" w:lineRule="auto"/>
              <w:jc w:val="right"/>
              <w:rPr>
                <w:rFonts w:cs="Arial"/>
                <w:color w:val="000000"/>
              </w:rPr>
            </w:pPr>
            <w:r w:rsidRPr="0082290B">
              <w:rPr>
                <w:rFonts w:cs="Arial"/>
                <w:color w:val="000000" w:themeColor="text1"/>
              </w:rPr>
              <w:t xml:space="preserve">18,648 </w:t>
            </w:r>
          </w:p>
        </w:tc>
        <w:tc>
          <w:tcPr>
            <w:tcW w:w="1130" w:type="dxa"/>
            <w:tcBorders>
              <w:top w:val="nil"/>
              <w:left w:val="nil"/>
              <w:bottom w:val="single" w:sz="4" w:space="0" w:color="auto"/>
              <w:right w:val="single" w:sz="4" w:space="0" w:color="auto"/>
            </w:tcBorders>
            <w:shd w:val="clear" w:color="auto" w:fill="auto"/>
            <w:noWrap/>
            <w:vAlign w:val="center"/>
          </w:tcPr>
          <w:p w14:paraId="2634DB3B" w14:textId="22E8D193" w:rsidR="00D55F4F" w:rsidRDefault="00D55F4F" w:rsidP="110985B9">
            <w:pPr>
              <w:spacing w:after="0" w:line="240" w:lineRule="auto"/>
              <w:jc w:val="right"/>
              <w:rPr>
                <w:rFonts w:cs="Arial"/>
                <w:color w:val="000000"/>
              </w:rPr>
            </w:pPr>
            <w:r w:rsidRPr="0082290B">
              <w:rPr>
                <w:rFonts w:cs="Arial"/>
                <w:color w:val="000000" w:themeColor="text1"/>
              </w:rPr>
              <w:t xml:space="preserve">26,160 </w:t>
            </w:r>
          </w:p>
        </w:tc>
        <w:tc>
          <w:tcPr>
            <w:tcW w:w="1418" w:type="dxa"/>
            <w:tcBorders>
              <w:top w:val="nil"/>
              <w:left w:val="nil"/>
              <w:bottom w:val="single" w:sz="4" w:space="0" w:color="auto"/>
              <w:right w:val="single" w:sz="4" w:space="0" w:color="auto"/>
            </w:tcBorders>
            <w:shd w:val="clear" w:color="auto" w:fill="auto"/>
            <w:noWrap/>
            <w:vAlign w:val="center"/>
          </w:tcPr>
          <w:p w14:paraId="52ACC106" w14:textId="501C2323" w:rsidR="00D55F4F" w:rsidRDefault="00D55F4F" w:rsidP="110985B9">
            <w:pPr>
              <w:spacing w:after="0" w:line="240" w:lineRule="auto"/>
              <w:jc w:val="right"/>
              <w:rPr>
                <w:rFonts w:cs="Arial"/>
                <w:color w:val="000000"/>
              </w:rPr>
            </w:pPr>
            <w:r w:rsidRPr="0082290B">
              <w:rPr>
                <w:rFonts w:cs="Arial"/>
                <w:color w:val="000000" w:themeColor="text1"/>
              </w:rPr>
              <w:t xml:space="preserve">16,177 </w:t>
            </w:r>
          </w:p>
        </w:tc>
        <w:tc>
          <w:tcPr>
            <w:tcW w:w="1477" w:type="dxa"/>
            <w:tcBorders>
              <w:top w:val="nil"/>
              <w:left w:val="nil"/>
              <w:bottom w:val="single" w:sz="4" w:space="0" w:color="auto"/>
              <w:right w:val="single" w:sz="4" w:space="0" w:color="auto"/>
            </w:tcBorders>
            <w:shd w:val="clear" w:color="auto" w:fill="auto"/>
            <w:noWrap/>
            <w:vAlign w:val="center"/>
          </w:tcPr>
          <w:p w14:paraId="77F4ED8F" w14:textId="436981D9" w:rsidR="00D55F4F" w:rsidRDefault="00D55F4F" w:rsidP="110985B9">
            <w:pPr>
              <w:spacing w:after="0" w:line="240" w:lineRule="auto"/>
              <w:jc w:val="right"/>
              <w:rPr>
                <w:rFonts w:cs="Arial"/>
                <w:color w:val="000000"/>
              </w:rPr>
            </w:pPr>
            <w:r w:rsidRPr="0082290B">
              <w:rPr>
                <w:rFonts w:cs="Arial"/>
                <w:color w:val="000000" w:themeColor="text1"/>
              </w:rPr>
              <w:t>4.9%</w:t>
            </w:r>
          </w:p>
        </w:tc>
      </w:tr>
      <w:tr w:rsidR="00D55F4F" w:rsidRPr="00537E40" w14:paraId="0ECA78D2"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0AF49ECD" w14:textId="77777777" w:rsidR="00D55F4F" w:rsidRDefault="00D55F4F" w:rsidP="00D55F4F">
            <w:pPr>
              <w:spacing w:after="0"/>
              <w:rPr>
                <w:rFonts w:cs="Arial"/>
                <w:b/>
                <w:bCs/>
                <w:color w:val="000000"/>
                <w:szCs w:val="20"/>
              </w:rPr>
            </w:pPr>
            <w:r>
              <w:rPr>
                <w:rFonts w:cs="Arial"/>
                <w:b/>
                <w:bCs/>
                <w:color w:val="000000"/>
                <w:szCs w:val="20"/>
              </w:rPr>
              <w:t>Parkville</w:t>
            </w:r>
          </w:p>
        </w:tc>
        <w:tc>
          <w:tcPr>
            <w:tcW w:w="1304" w:type="dxa"/>
            <w:tcBorders>
              <w:top w:val="nil"/>
              <w:left w:val="nil"/>
              <w:bottom w:val="single" w:sz="4" w:space="0" w:color="auto"/>
              <w:right w:val="single" w:sz="4" w:space="0" w:color="auto"/>
            </w:tcBorders>
            <w:shd w:val="clear" w:color="auto" w:fill="auto"/>
            <w:noWrap/>
            <w:vAlign w:val="center"/>
          </w:tcPr>
          <w:p w14:paraId="784D71C8" w14:textId="636C7225" w:rsidR="00D55F4F" w:rsidRDefault="00D55F4F" w:rsidP="110985B9">
            <w:pPr>
              <w:spacing w:after="0" w:line="240" w:lineRule="auto"/>
              <w:jc w:val="right"/>
              <w:rPr>
                <w:rFonts w:cs="Arial"/>
                <w:color w:val="000000"/>
              </w:rPr>
            </w:pPr>
            <w:r w:rsidRPr="0082290B">
              <w:rPr>
                <w:rFonts w:cs="Arial"/>
                <w:color w:val="000000" w:themeColor="text1"/>
              </w:rPr>
              <w:t xml:space="preserve">30,445 </w:t>
            </w:r>
          </w:p>
        </w:tc>
        <w:tc>
          <w:tcPr>
            <w:tcW w:w="1304" w:type="dxa"/>
            <w:tcBorders>
              <w:top w:val="nil"/>
              <w:left w:val="nil"/>
              <w:bottom w:val="single" w:sz="4" w:space="0" w:color="auto"/>
              <w:right w:val="single" w:sz="4" w:space="0" w:color="auto"/>
            </w:tcBorders>
            <w:shd w:val="clear" w:color="auto" w:fill="auto"/>
            <w:noWrap/>
            <w:vAlign w:val="center"/>
          </w:tcPr>
          <w:p w14:paraId="04971951" w14:textId="7242C6FB" w:rsidR="00D55F4F" w:rsidRDefault="00D55F4F" w:rsidP="110985B9">
            <w:pPr>
              <w:spacing w:after="0" w:line="240" w:lineRule="auto"/>
              <w:jc w:val="right"/>
              <w:rPr>
                <w:rFonts w:cs="Arial"/>
                <w:color w:val="000000"/>
              </w:rPr>
            </w:pPr>
            <w:r w:rsidRPr="0082290B">
              <w:rPr>
                <w:rFonts w:cs="Arial"/>
                <w:color w:val="000000" w:themeColor="text1"/>
              </w:rPr>
              <w:t xml:space="preserve">35,492 </w:t>
            </w:r>
          </w:p>
        </w:tc>
        <w:tc>
          <w:tcPr>
            <w:tcW w:w="1130" w:type="dxa"/>
            <w:tcBorders>
              <w:top w:val="nil"/>
              <w:left w:val="nil"/>
              <w:bottom w:val="single" w:sz="4" w:space="0" w:color="auto"/>
              <w:right w:val="single" w:sz="4" w:space="0" w:color="auto"/>
            </w:tcBorders>
            <w:shd w:val="clear" w:color="auto" w:fill="auto"/>
            <w:noWrap/>
            <w:vAlign w:val="center"/>
          </w:tcPr>
          <w:p w14:paraId="71BCE835" w14:textId="4CD6157F" w:rsidR="00D55F4F" w:rsidRDefault="00D55F4F" w:rsidP="110985B9">
            <w:pPr>
              <w:spacing w:after="0" w:line="240" w:lineRule="auto"/>
              <w:jc w:val="right"/>
              <w:rPr>
                <w:rFonts w:cs="Arial"/>
                <w:color w:val="000000"/>
              </w:rPr>
            </w:pPr>
            <w:r w:rsidRPr="0082290B">
              <w:rPr>
                <w:rFonts w:cs="Arial"/>
                <w:color w:val="000000" w:themeColor="text1"/>
              </w:rPr>
              <w:t xml:space="preserve">38,758 </w:t>
            </w:r>
          </w:p>
        </w:tc>
        <w:tc>
          <w:tcPr>
            <w:tcW w:w="1418" w:type="dxa"/>
            <w:tcBorders>
              <w:top w:val="nil"/>
              <w:left w:val="nil"/>
              <w:bottom w:val="single" w:sz="4" w:space="0" w:color="auto"/>
              <w:right w:val="single" w:sz="4" w:space="0" w:color="auto"/>
            </w:tcBorders>
            <w:shd w:val="clear" w:color="auto" w:fill="auto"/>
            <w:noWrap/>
            <w:vAlign w:val="center"/>
          </w:tcPr>
          <w:p w14:paraId="0C9DA745" w14:textId="0A426B6C" w:rsidR="00D55F4F" w:rsidRDefault="00D55F4F" w:rsidP="110985B9">
            <w:pPr>
              <w:spacing w:after="0" w:line="240" w:lineRule="auto"/>
              <w:jc w:val="right"/>
              <w:rPr>
                <w:rFonts w:cs="Arial"/>
                <w:color w:val="000000"/>
              </w:rPr>
            </w:pPr>
            <w:r w:rsidRPr="0082290B">
              <w:rPr>
                <w:rFonts w:cs="Arial"/>
                <w:color w:val="000000" w:themeColor="text1"/>
              </w:rPr>
              <w:t xml:space="preserve">8,313 </w:t>
            </w:r>
          </w:p>
        </w:tc>
        <w:tc>
          <w:tcPr>
            <w:tcW w:w="1477" w:type="dxa"/>
            <w:tcBorders>
              <w:top w:val="nil"/>
              <w:left w:val="nil"/>
              <w:bottom w:val="single" w:sz="4" w:space="0" w:color="auto"/>
              <w:right w:val="single" w:sz="4" w:space="0" w:color="auto"/>
            </w:tcBorders>
            <w:shd w:val="clear" w:color="auto" w:fill="auto"/>
            <w:noWrap/>
            <w:vAlign w:val="center"/>
          </w:tcPr>
          <w:p w14:paraId="5BBABB03" w14:textId="4ADA103F" w:rsidR="00D55F4F" w:rsidRDefault="00D55F4F" w:rsidP="110985B9">
            <w:pPr>
              <w:spacing w:after="0" w:line="240" w:lineRule="auto"/>
              <w:jc w:val="right"/>
              <w:rPr>
                <w:rFonts w:cs="Arial"/>
                <w:color w:val="000000"/>
              </w:rPr>
            </w:pPr>
            <w:r w:rsidRPr="0082290B">
              <w:rPr>
                <w:rFonts w:cs="Arial"/>
                <w:color w:val="000000" w:themeColor="text1"/>
              </w:rPr>
              <w:t>1.2%</w:t>
            </w:r>
          </w:p>
        </w:tc>
      </w:tr>
      <w:tr w:rsidR="00D55F4F" w:rsidRPr="00537E40" w14:paraId="47964F24"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32B28359" w14:textId="77777777" w:rsidR="00D55F4F" w:rsidRDefault="00D55F4F" w:rsidP="00D55F4F">
            <w:pPr>
              <w:spacing w:after="0"/>
              <w:rPr>
                <w:rFonts w:cs="Arial"/>
                <w:b/>
                <w:bCs/>
                <w:color w:val="000000"/>
                <w:szCs w:val="20"/>
              </w:rPr>
            </w:pPr>
            <w:r>
              <w:rPr>
                <w:rFonts w:cs="Arial"/>
                <w:b/>
                <w:bCs/>
                <w:color w:val="000000"/>
                <w:szCs w:val="20"/>
              </w:rPr>
              <w:t>Port Melbourne</w:t>
            </w:r>
          </w:p>
        </w:tc>
        <w:tc>
          <w:tcPr>
            <w:tcW w:w="1304" w:type="dxa"/>
            <w:tcBorders>
              <w:top w:val="nil"/>
              <w:left w:val="nil"/>
              <w:bottom w:val="single" w:sz="4" w:space="0" w:color="auto"/>
              <w:right w:val="single" w:sz="4" w:space="0" w:color="auto"/>
            </w:tcBorders>
            <w:shd w:val="clear" w:color="auto" w:fill="auto"/>
            <w:noWrap/>
            <w:vAlign w:val="center"/>
          </w:tcPr>
          <w:p w14:paraId="5E3EDDEB" w14:textId="7F0F3A79" w:rsidR="00D55F4F" w:rsidRDefault="00D55F4F" w:rsidP="110985B9">
            <w:pPr>
              <w:spacing w:after="0" w:line="240" w:lineRule="auto"/>
              <w:jc w:val="right"/>
              <w:rPr>
                <w:rFonts w:cs="Arial"/>
                <w:color w:val="000000"/>
              </w:rPr>
            </w:pPr>
            <w:r w:rsidRPr="0082290B">
              <w:rPr>
                <w:rFonts w:cs="Arial"/>
                <w:color w:val="000000" w:themeColor="text1"/>
              </w:rPr>
              <w:t xml:space="preserve">13,274 </w:t>
            </w:r>
          </w:p>
        </w:tc>
        <w:tc>
          <w:tcPr>
            <w:tcW w:w="1304" w:type="dxa"/>
            <w:tcBorders>
              <w:top w:val="nil"/>
              <w:left w:val="nil"/>
              <w:bottom w:val="single" w:sz="4" w:space="0" w:color="auto"/>
              <w:right w:val="single" w:sz="4" w:space="0" w:color="auto"/>
            </w:tcBorders>
            <w:shd w:val="clear" w:color="auto" w:fill="auto"/>
            <w:noWrap/>
            <w:vAlign w:val="center"/>
          </w:tcPr>
          <w:p w14:paraId="1DAFBF14" w14:textId="27D73F4E" w:rsidR="00D55F4F" w:rsidRDefault="00D55F4F" w:rsidP="110985B9">
            <w:pPr>
              <w:spacing w:after="0" w:line="240" w:lineRule="auto"/>
              <w:jc w:val="right"/>
              <w:rPr>
                <w:rFonts w:cs="Arial"/>
                <w:color w:val="000000"/>
              </w:rPr>
            </w:pPr>
            <w:r w:rsidRPr="0082290B">
              <w:rPr>
                <w:rFonts w:cs="Arial"/>
                <w:color w:val="000000" w:themeColor="text1"/>
              </w:rPr>
              <w:t xml:space="preserve">17,191 </w:t>
            </w:r>
          </w:p>
        </w:tc>
        <w:tc>
          <w:tcPr>
            <w:tcW w:w="1130" w:type="dxa"/>
            <w:tcBorders>
              <w:top w:val="nil"/>
              <w:left w:val="nil"/>
              <w:bottom w:val="single" w:sz="4" w:space="0" w:color="auto"/>
              <w:right w:val="single" w:sz="4" w:space="0" w:color="auto"/>
            </w:tcBorders>
            <w:shd w:val="clear" w:color="auto" w:fill="auto"/>
            <w:noWrap/>
            <w:vAlign w:val="center"/>
          </w:tcPr>
          <w:p w14:paraId="6CE4A6BC" w14:textId="72B3C892" w:rsidR="00D55F4F" w:rsidRDefault="00D55F4F" w:rsidP="110985B9">
            <w:pPr>
              <w:spacing w:after="0" w:line="240" w:lineRule="auto"/>
              <w:jc w:val="right"/>
              <w:rPr>
                <w:rFonts w:cs="Arial"/>
                <w:color w:val="000000"/>
              </w:rPr>
            </w:pPr>
            <w:r w:rsidRPr="0082290B">
              <w:rPr>
                <w:rFonts w:cs="Arial"/>
                <w:color w:val="000000" w:themeColor="text1"/>
              </w:rPr>
              <w:t xml:space="preserve">32,176 </w:t>
            </w:r>
          </w:p>
        </w:tc>
        <w:tc>
          <w:tcPr>
            <w:tcW w:w="1418" w:type="dxa"/>
            <w:tcBorders>
              <w:top w:val="nil"/>
              <w:left w:val="nil"/>
              <w:bottom w:val="single" w:sz="4" w:space="0" w:color="auto"/>
              <w:right w:val="single" w:sz="4" w:space="0" w:color="auto"/>
            </w:tcBorders>
            <w:shd w:val="clear" w:color="auto" w:fill="auto"/>
            <w:noWrap/>
            <w:vAlign w:val="center"/>
          </w:tcPr>
          <w:p w14:paraId="148E2F54" w14:textId="7047094D" w:rsidR="00D55F4F" w:rsidRDefault="00D55F4F" w:rsidP="110985B9">
            <w:pPr>
              <w:spacing w:after="0" w:line="240" w:lineRule="auto"/>
              <w:jc w:val="right"/>
              <w:rPr>
                <w:rFonts w:cs="Arial"/>
                <w:color w:val="000000"/>
              </w:rPr>
            </w:pPr>
            <w:r w:rsidRPr="0082290B">
              <w:rPr>
                <w:rFonts w:cs="Arial"/>
                <w:color w:val="000000" w:themeColor="text1"/>
              </w:rPr>
              <w:t xml:space="preserve">18,902 </w:t>
            </w:r>
          </w:p>
        </w:tc>
        <w:tc>
          <w:tcPr>
            <w:tcW w:w="1477" w:type="dxa"/>
            <w:tcBorders>
              <w:top w:val="nil"/>
              <w:left w:val="nil"/>
              <w:bottom w:val="single" w:sz="4" w:space="0" w:color="auto"/>
              <w:right w:val="single" w:sz="4" w:space="0" w:color="auto"/>
            </w:tcBorders>
            <w:shd w:val="clear" w:color="auto" w:fill="auto"/>
            <w:noWrap/>
            <w:vAlign w:val="center"/>
          </w:tcPr>
          <w:p w14:paraId="0257EFDF" w14:textId="046A3554" w:rsidR="00D55F4F" w:rsidRDefault="00D55F4F" w:rsidP="110985B9">
            <w:pPr>
              <w:spacing w:after="0" w:line="240" w:lineRule="auto"/>
              <w:jc w:val="right"/>
              <w:rPr>
                <w:rFonts w:cs="Arial"/>
                <w:color w:val="000000"/>
              </w:rPr>
            </w:pPr>
            <w:r w:rsidRPr="0082290B">
              <w:rPr>
                <w:rFonts w:cs="Arial"/>
                <w:color w:val="000000" w:themeColor="text1"/>
              </w:rPr>
              <w:t>4.5%</w:t>
            </w:r>
          </w:p>
        </w:tc>
      </w:tr>
      <w:tr w:rsidR="00D55F4F" w:rsidRPr="00537E40" w14:paraId="36390B44"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205E3126" w14:textId="77777777" w:rsidR="00D55F4F" w:rsidRDefault="00D55F4F" w:rsidP="00D55F4F">
            <w:pPr>
              <w:spacing w:after="0"/>
              <w:rPr>
                <w:rFonts w:cs="Arial"/>
                <w:b/>
                <w:bCs/>
                <w:color w:val="000000"/>
                <w:szCs w:val="20"/>
              </w:rPr>
            </w:pPr>
            <w:r>
              <w:rPr>
                <w:rFonts w:cs="Arial"/>
                <w:b/>
                <w:bCs/>
                <w:color w:val="000000"/>
                <w:szCs w:val="20"/>
              </w:rPr>
              <w:t>South Yarra</w:t>
            </w:r>
          </w:p>
        </w:tc>
        <w:tc>
          <w:tcPr>
            <w:tcW w:w="1304" w:type="dxa"/>
            <w:tcBorders>
              <w:top w:val="nil"/>
              <w:left w:val="nil"/>
              <w:bottom w:val="single" w:sz="4" w:space="0" w:color="auto"/>
              <w:right w:val="single" w:sz="4" w:space="0" w:color="auto"/>
            </w:tcBorders>
            <w:shd w:val="clear" w:color="auto" w:fill="auto"/>
            <w:noWrap/>
            <w:vAlign w:val="center"/>
          </w:tcPr>
          <w:p w14:paraId="17A30651" w14:textId="57FC2C95" w:rsidR="00D55F4F" w:rsidRDefault="00D55F4F" w:rsidP="110985B9">
            <w:pPr>
              <w:spacing w:after="0" w:line="240" w:lineRule="auto"/>
              <w:jc w:val="right"/>
              <w:rPr>
                <w:rFonts w:cs="Arial"/>
                <w:color w:val="000000"/>
              </w:rPr>
            </w:pPr>
            <w:r w:rsidRPr="0082290B">
              <w:rPr>
                <w:rFonts w:cs="Arial"/>
                <w:color w:val="000000" w:themeColor="text1"/>
              </w:rPr>
              <w:t xml:space="preserve">1,031 </w:t>
            </w:r>
          </w:p>
        </w:tc>
        <w:tc>
          <w:tcPr>
            <w:tcW w:w="1304" w:type="dxa"/>
            <w:tcBorders>
              <w:top w:val="nil"/>
              <w:left w:val="nil"/>
              <w:bottom w:val="single" w:sz="4" w:space="0" w:color="auto"/>
              <w:right w:val="single" w:sz="4" w:space="0" w:color="auto"/>
            </w:tcBorders>
            <w:shd w:val="clear" w:color="auto" w:fill="auto"/>
            <w:noWrap/>
            <w:vAlign w:val="center"/>
          </w:tcPr>
          <w:p w14:paraId="0C92344E" w14:textId="052F6EDE" w:rsidR="00D55F4F" w:rsidRDefault="00D55F4F" w:rsidP="110985B9">
            <w:pPr>
              <w:spacing w:after="0" w:line="240" w:lineRule="auto"/>
              <w:jc w:val="right"/>
              <w:rPr>
                <w:rFonts w:cs="Arial"/>
                <w:color w:val="000000"/>
              </w:rPr>
            </w:pPr>
            <w:r w:rsidRPr="0082290B">
              <w:rPr>
                <w:rFonts w:cs="Arial"/>
                <w:color w:val="000000" w:themeColor="text1"/>
              </w:rPr>
              <w:t xml:space="preserve">1,713 </w:t>
            </w:r>
          </w:p>
        </w:tc>
        <w:tc>
          <w:tcPr>
            <w:tcW w:w="1130" w:type="dxa"/>
            <w:tcBorders>
              <w:top w:val="nil"/>
              <w:left w:val="nil"/>
              <w:bottom w:val="single" w:sz="4" w:space="0" w:color="auto"/>
              <w:right w:val="single" w:sz="4" w:space="0" w:color="auto"/>
            </w:tcBorders>
            <w:shd w:val="clear" w:color="auto" w:fill="auto"/>
            <w:noWrap/>
            <w:vAlign w:val="center"/>
          </w:tcPr>
          <w:p w14:paraId="22A855B4" w14:textId="2B9AB541" w:rsidR="00D55F4F" w:rsidRDefault="00D55F4F" w:rsidP="110985B9">
            <w:pPr>
              <w:spacing w:after="0" w:line="240" w:lineRule="auto"/>
              <w:jc w:val="right"/>
              <w:rPr>
                <w:rFonts w:cs="Arial"/>
                <w:color w:val="000000"/>
              </w:rPr>
            </w:pPr>
            <w:r w:rsidRPr="0082290B">
              <w:rPr>
                <w:rFonts w:cs="Arial"/>
                <w:color w:val="000000" w:themeColor="text1"/>
              </w:rPr>
              <w:t xml:space="preserve">1,772 </w:t>
            </w:r>
          </w:p>
        </w:tc>
        <w:tc>
          <w:tcPr>
            <w:tcW w:w="1418" w:type="dxa"/>
            <w:tcBorders>
              <w:top w:val="nil"/>
              <w:left w:val="nil"/>
              <w:bottom w:val="single" w:sz="4" w:space="0" w:color="auto"/>
              <w:right w:val="single" w:sz="4" w:space="0" w:color="auto"/>
            </w:tcBorders>
            <w:shd w:val="clear" w:color="auto" w:fill="auto"/>
            <w:noWrap/>
            <w:vAlign w:val="center"/>
          </w:tcPr>
          <w:p w14:paraId="7DEC3B68" w14:textId="4211DAB3" w:rsidR="00D55F4F" w:rsidRDefault="00D55F4F" w:rsidP="110985B9">
            <w:pPr>
              <w:spacing w:after="0" w:line="240" w:lineRule="auto"/>
              <w:jc w:val="right"/>
              <w:rPr>
                <w:rFonts w:cs="Arial"/>
                <w:color w:val="000000"/>
              </w:rPr>
            </w:pPr>
            <w:r w:rsidRPr="0082290B">
              <w:rPr>
                <w:rFonts w:cs="Arial"/>
                <w:color w:val="000000" w:themeColor="text1"/>
              </w:rPr>
              <w:t xml:space="preserve">741 </w:t>
            </w:r>
          </w:p>
        </w:tc>
        <w:tc>
          <w:tcPr>
            <w:tcW w:w="1477" w:type="dxa"/>
            <w:tcBorders>
              <w:top w:val="nil"/>
              <w:left w:val="nil"/>
              <w:bottom w:val="single" w:sz="4" w:space="0" w:color="auto"/>
              <w:right w:val="single" w:sz="4" w:space="0" w:color="auto"/>
            </w:tcBorders>
            <w:shd w:val="clear" w:color="auto" w:fill="auto"/>
            <w:noWrap/>
            <w:vAlign w:val="center"/>
          </w:tcPr>
          <w:p w14:paraId="3D5851AA" w14:textId="16413FAE" w:rsidR="00D55F4F" w:rsidRDefault="00D55F4F" w:rsidP="110985B9">
            <w:pPr>
              <w:spacing w:after="0" w:line="240" w:lineRule="auto"/>
              <w:jc w:val="right"/>
              <w:rPr>
                <w:rFonts w:cs="Arial"/>
                <w:color w:val="000000"/>
              </w:rPr>
            </w:pPr>
            <w:r w:rsidRPr="0082290B">
              <w:rPr>
                <w:rFonts w:cs="Arial"/>
                <w:color w:val="000000" w:themeColor="text1"/>
              </w:rPr>
              <w:t>2.7%</w:t>
            </w:r>
          </w:p>
        </w:tc>
      </w:tr>
      <w:tr w:rsidR="00D55F4F" w:rsidRPr="00537E40" w14:paraId="7C8EEA79"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3D16F444" w14:textId="77777777" w:rsidR="00D55F4F" w:rsidRDefault="00D55F4F" w:rsidP="00D55F4F">
            <w:pPr>
              <w:spacing w:after="0"/>
              <w:rPr>
                <w:rFonts w:cs="Arial"/>
                <w:b/>
                <w:bCs/>
                <w:color w:val="000000"/>
                <w:szCs w:val="20"/>
              </w:rPr>
            </w:pPr>
            <w:r>
              <w:rPr>
                <w:rFonts w:cs="Arial"/>
                <w:b/>
                <w:bCs/>
                <w:color w:val="000000"/>
                <w:szCs w:val="20"/>
              </w:rPr>
              <w:t>Southbank</w:t>
            </w:r>
          </w:p>
        </w:tc>
        <w:tc>
          <w:tcPr>
            <w:tcW w:w="1304" w:type="dxa"/>
            <w:tcBorders>
              <w:top w:val="nil"/>
              <w:left w:val="nil"/>
              <w:bottom w:val="single" w:sz="4" w:space="0" w:color="auto"/>
              <w:right w:val="single" w:sz="4" w:space="0" w:color="auto"/>
            </w:tcBorders>
            <w:shd w:val="clear" w:color="auto" w:fill="auto"/>
            <w:noWrap/>
            <w:vAlign w:val="center"/>
          </w:tcPr>
          <w:p w14:paraId="4F624B97" w14:textId="0F9DA5B8" w:rsidR="00D55F4F" w:rsidRDefault="00D55F4F" w:rsidP="110985B9">
            <w:pPr>
              <w:spacing w:after="0" w:line="240" w:lineRule="auto"/>
              <w:jc w:val="right"/>
              <w:rPr>
                <w:rFonts w:cs="Arial"/>
                <w:color w:val="000000"/>
              </w:rPr>
            </w:pPr>
            <w:r w:rsidRPr="0082290B">
              <w:rPr>
                <w:rFonts w:cs="Arial"/>
                <w:color w:val="000000" w:themeColor="text1"/>
              </w:rPr>
              <w:t xml:space="preserve">44,776 </w:t>
            </w:r>
          </w:p>
        </w:tc>
        <w:tc>
          <w:tcPr>
            <w:tcW w:w="1304" w:type="dxa"/>
            <w:tcBorders>
              <w:top w:val="nil"/>
              <w:left w:val="nil"/>
              <w:bottom w:val="single" w:sz="4" w:space="0" w:color="auto"/>
              <w:right w:val="single" w:sz="4" w:space="0" w:color="auto"/>
            </w:tcBorders>
            <w:shd w:val="clear" w:color="auto" w:fill="auto"/>
            <w:noWrap/>
            <w:vAlign w:val="center"/>
          </w:tcPr>
          <w:p w14:paraId="451CA6AE" w14:textId="0B56DE34" w:rsidR="00D55F4F" w:rsidRDefault="00D55F4F" w:rsidP="110985B9">
            <w:pPr>
              <w:spacing w:after="0" w:line="240" w:lineRule="auto"/>
              <w:jc w:val="right"/>
              <w:rPr>
                <w:rFonts w:cs="Arial"/>
                <w:color w:val="000000"/>
              </w:rPr>
            </w:pPr>
            <w:r w:rsidRPr="0082290B">
              <w:rPr>
                <w:rFonts w:cs="Arial"/>
                <w:color w:val="000000" w:themeColor="text1"/>
              </w:rPr>
              <w:t xml:space="preserve">53,199 </w:t>
            </w:r>
          </w:p>
        </w:tc>
        <w:tc>
          <w:tcPr>
            <w:tcW w:w="1130" w:type="dxa"/>
            <w:tcBorders>
              <w:top w:val="nil"/>
              <w:left w:val="nil"/>
              <w:bottom w:val="single" w:sz="4" w:space="0" w:color="auto"/>
              <w:right w:val="single" w:sz="4" w:space="0" w:color="auto"/>
            </w:tcBorders>
            <w:shd w:val="clear" w:color="auto" w:fill="auto"/>
            <w:noWrap/>
            <w:vAlign w:val="center"/>
          </w:tcPr>
          <w:p w14:paraId="097E414B" w14:textId="28BA80A7" w:rsidR="00D55F4F" w:rsidRDefault="00D55F4F" w:rsidP="110985B9">
            <w:pPr>
              <w:spacing w:after="0" w:line="240" w:lineRule="auto"/>
              <w:jc w:val="right"/>
              <w:rPr>
                <w:rFonts w:cs="Arial"/>
                <w:color w:val="000000"/>
              </w:rPr>
            </w:pPr>
            <w:r w:rsidRPr="0082290B">
              <w:rPr>
                <w:rFonts w:cs="Arial"/>
                <w:color w:val="000000" w:themeColor="text1"/>
              </w:rPr>
              <w:t xml:space="preserve">59,954 </w:t>
            </w:r>
          </w:p>
        </w:tc>
        <w:tc>
          <w:tcPr>
            <w:tcW w:w="1418" w:type="dxa"/>
            <w:tcBorders>
              <w:top w:val="nil"/>
              <w:left w:val="nil"/>
              <w:bottom w:val="single" w:sz="4" w:space="0" w:color="auto"/>
              <w:right w:val="single" w:sz="4" w:space="0" w:color="auto"/>
            </w:tcBorders>
            <w:shd w:val="clear" w:color="auto" w:fill="auto"/>
            <w:noWrap/>
            <w:vAlign w:val="center"/>
          </w:tcPr>
          <w:p w14:paraId="45CCEF78" w14:textId="5DF80644" w:rsidR="00D55F4F" w:rsidRDefault="00D55F4F" w:rsidP="110985B9">
            <w:pPr>
              <w:spacing w:after="0" w:line="240" w:lineRule="auto"/>
              <w:jc w:val="right"/>
              <w:rPr>
                <w:rFonts w:cs="Arial"/>
                <w:color w:val="000000"/>
              </w:rPr>
            </w:pPr>
            <w:r w:rsidRPr="0082290B">
              <w:rPr>
                <w:rFonts w:cs="Arial"/>
                <w:color w:val="000000" w:themeColor="text1"/>
              </w:rPr>
              <w:t xml:space="preserve">15,178 </w:t>
            </w:r>
          </w:p>
        </w:tc>
        <w:tc>
          <w:tcPr>
            <w:tcW w:w="1477" w:type="dxa"/>
            <w:tcBorders>
              <w:top w:val="nil"/>
              <w:left w:val="nil"/>
              <w:bottom w:val="single" w:sz="4" w:space="0" w:color="auto"/>
              <w:right w:val="single" w:sz="4" w:space="0" w:color="auto"/>
            </w:tcBorders>
            <w:shd w:val="clear" w:color="auto" w:fill="auto"/>
            <w:noWrap/>
            <w:vAlign w:val="center"/>
          </w:tcPr>
          <w:p w14:paraId="03BB794C" w14:textId="05A06145" w:rsidR="00D55F4F" w:rsidRDefault="00D55F4F" w:rsidP="110985B9">
            <w:pPr>
              <w:spacing w:after="0" w:line="240" w:lineRule="auto"/>
              <w:jc w:val="right"/>
              <w:rPr>
                <w:rFonts w:cs="Arial"/>
                <w:color w:val="000000"/>
              </w:rPr>
            </w:pPr>
            <w:r w:rsidRPr="0082290B">
              <w:rPr>
                <w:rFonts w:cs="Arial"/>
                <w:color w:val="000000" w:themeColor="text1"/>
              </w:rPr>
              <w:t>1.5%</w:t>
            </w:r>
          </w:p>
        </w:tc>
      </w:tr>
      <w:tr w:rsidR="00D55F4F" w:rsidRPr="00537E40" w14:paraId="4876F647"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72D2095E" w14:textId="77777777" w:rsidR="00D55F4F" w:rsidRDefault="00D55F4F" w:rsidP="00D55F4F">
            <w:pPr>
              <w:spacing w:after="0"/>
              <w:rPr>
                <w:rFonts w:cs="Arial"/>
                <w:b/>
                <w:bCs/>
                <w:color w:val="000000"/>
                <w:szCs w:val="20"/>
              </w:rPr>
            </w:pPr>
            <w:r>
              <w:rPr>
                <w:rFonts w:cs="Arial"/>
                <w:b/>
                <w:bCs/>
                <w:color w:val="000000"/>
                <w:szCs w:val="20"/>
              </w:rPr>
              <w:t>West Melbourne (Industrial)</w:t>
            </w:r>
          </w:p>
        </w:tc>
        <w:tc>
          <w:tcPr>
            <w:tcW w:w="1304" w:type="dxa"/>
            <w:tcBorders>
              <w:top w:val="nil"/>
              <w:left w:val="nil"/>
              <w:bottom w:val="single" w:sz="4" w:space="0" w:color="auto"/>
              <w:right w:val="single" w:sz="4" w:space="0" w:color="auto"/>
            </w:tcBorders>
            <w:shd w:val="clear" w:color="auto" w:fill="auto"/>
            <w:noWrap/>
            <w:vAlign w:val="center"/>
          </w:tcPr>
          <w:p w14:paraId="364566E0" w14:textId="48F942FA" w:rsidR="00D55F4F" w:rsidRDefault="00D55F4F" w:rsidP="110985B9">
            <w:pPr>
              <w:spacing w:after="0" w:line="240" w:lineRule="auto"/>
              <w:jc w:val="right"/>
              <w:rPr>
                <w:rFonts w:cs="Arial"/>
                <w:color w:val="000000"/>
              </w:rPr>
            </w:pPr>
            <w:r w:rsidRPr="0082290B">
              <w:rPr>
                <w:rFonts w:cs="Arial"/>
                <w:color w:val="000000" w:themeColor="text1"/>
              </w:rPr>
              <w:t xml:space="preserve">3,875 </w:t>
            </w:r>
          </w:p>
        </w:tc>
        <w:tc>
          <w:tcPr>
            <w:tcW w:w="1304" w:type="dxa"/>
            <w:tcBorders>
              <w:top w:val="nil"/>
              <w:left w:val="nil"/>
              <w:bottom w:val="single" w:sz="4" w:space="0" w:color="auto"/>
              <w:right w:val="single" w:sz="4" w:space="0" w:color="auto"/>
            </w:tcBorders>
            <w:shd w:val="clear" w:color="auto" w:fill="auto"/>
            <w:noWrap/>
            <w:vAlign w:val="center"/>
          </w:tcPr>
          <w:p w14:paraId="2DD1C4A9" w14:textId="4FCCE9CA" w:rsidR="00D55F4F" w:rsidRDefault="00D55F4F" w:rsidP="110985B9">
            <w:pPr>
              <w:spacing w:after="0" w:line="240" w:lineRule="auto"/>
              <w:jc w:val="right"/>
              <w:rPr>
                <w:rFonts w:cs="Arial"/>
                <w:color w:val="000000"/>
              </w:rPr>
            </w:pPr>
            <w:r w:rsidRPr="0082290B">
              <w:rPr>
                <w:rFonts w:cs="Arial"/>
                <w:color w:val="000000" w:themeColor="text1"/>
              </w:rPr>
              <w:t xml:space="preserve">5,120 </w:t>
            </w:r>
          </w:p>
        </w:tc>
        <w:tc>
          <w:tcPr>
            <w:tcW w:w="1130" w:type="dxa"/>
            <w:tcBorders>
              <w:top w:val="nil"/>
              <w:left w:val="nil"/>
              <w:bottom w:val="single" w:sz="4" w:space="0" w:color="auto"/>
              <w:right w:val="single" w:sz="4" w:space="0" w:color="auto"/>
            </w:tcBorders>
            <w:shd w:val="clear" w:color="auto" w:fill="auto"/>
            <w:noWrap/>
            <w:vAlign w:val="center"/>
          </w:tcPr>
          <w:p w14:paraId="550227D2" w14:textId="703B8E61" w:rsidR="00D55F4F" w:rsidRDefault="00D55F4F" w:rsidP="110985B9">
            <w:pPr>
              <w:spacing w:after="0" w:line="240" w:lineRule="auto"/>
              <w:jc w:val="right"/>
              <w:rPr>
                <w:rFonts w:cs="Arial"/>
                <w:color w:val="000000"/>
              </w:rPr>
            </w:pPr>
            <w:r w:rsidRPr="0082290B">
              <w:rPr>
                <w:rFonts w:cs="Arial"/>
                <w:color w:val="000000" w:themeColor="text1"/>
              </w:rPr>
              <w:t xml:space="preserve">6,384 </w:t>
            </w:r>
          </w:p>
        </w:tc>
        <w:tc>
          <w:tcPr>
            <w:tcW w:w="1418" w:type="dxa"/>
            <w:tcBorders>
              <w:top w:val="nil"/>
              <w:left w:val="nil"/>
              <w:bottom w:val="single" w:sz="4" w:space="0" w:color="auto"/>
              <w:right w:val="single" w:sz="4" w:space="0" w:color="auto"/>
            </w:tcBorders>
            <w:shd w:val="clear" w:color="auto" w:fill="auto"/>
            <w:noWrap/>
            <w:vAlign w:val="center"/>
          </w:tcPr>
          <w:p w14:paraId="155BD3F6" w14:textId="4EF0AF8C" w:rsidR="00D55F4F" w:rsidRDefault="00D55F4F" w:rsidP="110985B9">
            <w:pPr>
              <w:spacing w:after="0" w:line="240" w:lineRule="auto"/>
              <w:jc w:val="right"/>
              <w:rPr>
                <w:rFonts w:cs="Arial"/>
                <w:color w:val="000000"/>
              </w:rPr>
            </w:pPr>
            <w:r w:rsidRPr="0082290B">
              <w:rPr>
                <w:rFonts w:cs="Arial"/>
                <w:color w:val="000000" w:themeColor="text1"/>
              </w:rPr>
              <w:t xml:space="preserve">2,509 </w:t>
            </w:r>
          </w:p>
        </w:tc>
        <w:tc>
          <w:tcPr>
            <w:tcW w:w="1477" w:type="dxa"/>
            <w:tcBorders>
              <w:top w:val="nil"/>
              <w:left w:val="nil"/>
              <w:bottom w:val="single" w:sz="4" w:space="0" w:color="auto"/>
              <w:right w:val="single" w:sz="4" w:space="0" w:color="auto"/>
            </w:tcBorders>
            <w:shd w:val="clear" w:color="auto" w:fill="auto"/>
            <w:noWrap/>
            <w:vAlign w:val="center"/>
          </w:tcPr>
          <w:p w14:paraId="38ECD57D" w14:textId="27BD8540" w:rsidR="00D55F4F" w:rsidRDefault="00D55F4F" w:rsidP="110985B9">
            <w:pPr>
              <w:spacing w:after="0" w:line="240" w:lineRule="auto"/>
              <w:jc w:val="right"/>
              <w:rPr>
                <w:rFonts w:cs="Arial"/>
                <w:color w:val="000000"/>
              </w:rPr>
            </w:pPr>
            <w:r w:rsidRPr="0082290B">
              <w:rPr>
                <w:rFonts w:cs="Arial"/>
                <w:color w:val="000000" w:themeColor="text1"/>
              </w:rPr>
              <w:t>2.5%</w:t>
            </w:r>
          </w:p>
        </w:tc>
      </w:tr>
      <w:tr w:rsidR="00D55F4F" w:rsidRPr="00537E40" w14:paraId="5EC37F8A"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6D41B5BA" w14:textId="77777777" w:rsidR="00D55F4F" w:rsidRDefault="00D55F4F" w:rsidP="00D55F4F">
            <w:pPr>
              <w:spacing w:after="0"/>
              <w:rPr>
                <w:rFonts w:cs="Arial"/>
                <w:b/>
                <w:bCs/>
                <w:color w:val="000000"/>
                <w:szCs w:val="20"/>
              </w:rPr>
            </w:pPr>
            <w:r>
              <w:rPr>
                <w:rFonts w:cs="Arial"/>
                <w:b/>
                <w:bCs/>
                <w:color w:val="000000"/>
                <w:szCs w:val="20"/>
              </w:rPr>
              <w:t>West Melbourne (Residential)</w:t>
            </w:r>
          </w:p>
        </w:tc>
        <w:tc>
          <w:tcPr>
            <w:tcW w:w="1304" w:type="dxa"/>
            <w:tcBorders>
              <w:top w:val="nil"/>
              <w:left w:val="nil"/>
              <w:bottom w:val="single" w:sz="4" w:space="0" w:color="auto"/>
              <w:right w:val="single" w:sz="4" w:space="0" w:color="auto"/>
            </w:tcBorders>
            <w:shd w:val="clear" w:color="auto" w:fill="auto"/>
            <w:noWrap/>
            <w:vAlign w:val="center"/>
          </w:tcPr>
          <w:p w14:paraId="2556DA45" w14:textId="6468209A" w:rsidR="00D55F4F" w:rsidRDefault="00D55F4F" w:rsidP="110985B9">
            <w:pPr>
              <w:spacing w:after="0" w:line="240" w:lineRule="auto"/>
              <w:jc w:val="right"/>
              <w:rPr>
                <w:rFonts w:cs="Arial"/>
                <w:color w:val="000000"/>
              </w:rPr>
            </w:pPr>
            <w:r w:rsidRPr="0082290B">
              <w:rPr>
                <w:rFonts w:cs="Arial"/>
                <w:color w:val="000000" w:themeColor="text1"/>
              </w:rPr>
              <w:t xml:space="preserve">4,963 </w:t>
            </w:r>
          </w:p>
        </w:tc>
        <w:tc>
          <w:tcPr>
            <w:tcW w:w="1304" w:type="dxa"/>
            <w:tcBorders>
              <w:top w:val="nil"/>
              <w:left w:val="nil"/>
              <w:bottom w:val="single" w:sz="4" w:space="0" w:color="auto"/>
              <w:right w:val="single" w:sz="4" w:space="0" w:color="auto"/>
            </w:tcBorders>
            <w:shd w:val="clear" w:color="auto" w:fill="auto"/>
            <w:noWrap/>
            <w:vAlign w:val="center"/>
          </w:tcPr>
          <w:p w14:paraId="5056B385" w14:textId="4CB57D8A" w:rsidR="00D55F4F" w:rsidRDefault="00D55F4F" w:rsidP="110985B9">
            <w:pPr>
              <w:spacing w:after="0" w:line="240" w:lineRule="auto"/>
              <w:jc w:val="right"/>
              <w:rPr>
                <w:rFonts w:cs="Arial"/>
                <w:color w:val="000000"/>
              </w:rPr>
            </w:pPr>
            <w:r w:rsidRPr="0082290B">
              <w:rPr>
                <w:rFonts w:cs="Arial"/>
                <w:color w:val="000000" w:themeColor="text1"/>
              </w:rPr>
              <w:t xml:space="preserve">6,501 </w:t>
            </w:r>
          </w:p>
        </w:tc>
        <w:tc>
          <w:tcPr>
            <w:tcW w:w="1130" w:type="dxa"/>
            <w:tcBorders>
              <w:top w:val="nil"/>
              <w:left w:val="nil"/>
              <w:bottom w:val="single" w:sz="4" w:space="0" w:color="auto"/>
              <w:right w:val="single" w:sz="4" w:space="0" w:color="auto"/>
            </w:tcBorders>
            <w:shd w:val="clear" w:color="auto" w:fill="auto"/>
            <w:noWrap/>
            <w:vAlign w:val="center"/>
          </w:tcPr>
          <w:p w14:paraId="23B396C8" w14:textId="1EE9BCFA" w:rsidR="00D55F4F" w:rsidRDefault="00D55F4F" w:rsidP="110985B9">
            <w:pPr>
              <w:spacing w:after="0" w:line="240" w:lineRule="auto"/>
              <w:jc w:val="right"/>
              <w:rPr>
                <w:rFonts w:cs="Arial"/>
                <w:color w:val="000000"/>
              </w:rPr>
            </w:pPr>
            <w:r w:rsidRPr="0082290B">
              <w:rPr>
                <w:rFonts w:cs="Arial"/>
                <w:color w:val="000000" w:themeColor="text1"/>
              </w:rPr>
              <w:t xml:space="preserve">7,328 </w:t>
            </w:r>
          </w:p>
        </w:tc>
        <w:tc>
          <w:tcPr>
            <w:tcW w:w="1418" w:type="dxa"/>
            <w:tcBorders>
              <w:top w:val="nil"/>
              <w:left w:val="nil"/>
              <w:bottom w:val="single" w:sz="4" w:space="0" w:color="auto"/>
              <w:right w:val="single" w:sz="4" w:space="0" w:color="auto"/>
            </w:tcBorders>
            <w:shd w:val="clear" w:color="auto" w:fill="auto"/>
            <w:noWrap/>
            <w:vAlign w:val="center"/>
          </w:tcPr>
          <w:p w14:paraId="58BB7732" w14:textId="4B7E71A8" w:rsidR="00D55F4F" w:rsidRDefault="00D55F4F" w:rsidP="110985B9">
            <w:pPr>
              <w:spacing w:after="0" w:line="240" w:lineRule="auto"/>
              <w:jc w:val="right"/>
              <w:rPr>
                <w:rFonts w:cs="Arial"/>
                <w:color w:val="000000"/>
              </w:rPr>
            </w:pPr>
            <w:r w:rsidRPr="0082290B">
              <w:rPr>
                <w:rFonts w:cs="Arial"/>
                <w:color w:val="000000" w:themeColor="text1"/>
              </w:rPr>
              <w:t xml:space="preserve">2,365 </w:t>
            </w:r>
          </w:p>
        </w:tc>
        <w:tc>
          <w:tcPr>
            <w:tcW w:w="1477" w:type="dxa"/>
            <w:tcBorders>
              <w:top w:val="nil"/>
              <w:left w:val="nil"/>
              <w:bottom w:val="single" w:sz="4" w:space="0" w:color="auto"/>
              <w:right w:val="single" w:sz="4" w:space="0" w:color="auto"/>
            </w:tcBorders>
            <w:shd w:val="clear" w:color="auto" w:fill="auto"/>
            <w:noWrap/>
            <w:vAlign w:val="center"/>
          </w:tcPr>
          <w:p w14:paraId="1DCE58BE" w14:textId="32E6DE7D" w:rsidR="00D55F4F" w:rsidRDefault="00D55F4F" w:rsidP="110985B9">
            <w:pPr>
              <w:spacing w:after="0" w:line="240" w:lineRule="auto"/>
              <w:jc w:val="right"/>
              <w:rPr>
                <w:rFonts w:cs="Arial"/>
                <w:color w:val="000000"/>
              </w:rPr>
            </w:pPr>
            <w:r w:rsidRPr="0082290B">
              <w:rPr>
                <w:rFonts w:cs="Arial"/>
                <w:color w:val="000000" w:themeColor="text1"/>
              </w:rPr>
              <w:t>2.0%</w:t>
            </w:r>
          </w:p>
        </w:tc>
      </w:tr>
      <w:tr w:rsidR="00D55F4F" w:rsidRPr="00537E40" w14:paraId="29F5F161"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202843EB" w14:textId="77777777" w:rsidR="00D55F4F" w:rsidRDefault="00D55F4F" w:rsidP="00D55F4F">
            <w:pPr>
              <w:spacing w:after="0"/>
              <w:rPr>
                <w:rFonts w:cs="Arial"/>
                <w:b/>
                <w:bCs/>
                <w:color w:val="000000"/>
                <w:szCs w:val="20"/>
              </w:rPr>
            </w:pPr>
            <w:r>
              <w:rPr>
                <w:rFonts w:cs="Arial"/>
                <w:b/>
                <w:bCs/>
                <w:color w:val="000000"/>
                <w:szCs w:val="20"/>
              </w:rPr>
              <w:t>Total (City of Melbourne)</w:t>
            </w:r>
          </w:p>
        </w:tc>
        <w:tc>
          <w:tcPr>
            <w:tcW w:w="1304" w:type="dxa"/>
            <w:tcBorders>
              <w:top w:val="nil"/>
              <w:left w:val="nil"/>
              <w:bottom w:val="single" w:sz="4" w:space="0" w:color="auto"/>
              <w:right w:val="single" w:sz="4" w:space="0" w:color="auto"/>
            </w:tcBorders>
            <w:shd w:val="clear" w:color="auto" w:fill="auto"/>
            <w:noWrap/>
            <w:vAlign w:val="center"/>
          </w:tcPr>
          <w:p w14:paraId="3BA8C0E0" w14:textId="00F472A9" w:rsidR="00D55F4F" w:rsidRPr="006E028D" w:rsidRDefault="00D55F4F" w:rsidP="110985B9">
            <w:pPr>
              <w:spacing w:after="0" w:line="240" w:lineRule="auto"/>
              <w:jc w:val="right"/>
              <w:rPr>
                <w:rFonts w:cs="Arial"/>
                <w:b/>
                <w:bCs/>
                <w:color w:val="000000"/>
              </w:rPr>
            </w:pPr>
            <w:r w:rsidRPr="0082290B">
              <w:rPr>
                <w:rFonts w:cs="Arial"/>
                <w:b/>
                <w:bCs/>
                <w:color w:val="000000" w:themeColor="text1"/>
              </w:rPr>
              <w:t xml:space="preserve">466,004 </w:t>
            </w:r>
          </w:p>
        </w:tc>
        <w:tc>
          <w:tcPr>
            <w:tcW w:w="1304" w:type="dxa"/>
            <w:tcBorders>
              <w:top w:val="nil"/>
              <w:left w:val="nil"/>
              <w:bottom w:val="single" w:sz="4" w:space="0" w:color="auto"/>
              <w:right w:val="single" w:sz="4" w:space="0" w:color="auto"/>
            </w:tcBorders>
            <w:shd w:val="clear" w:color="auto" w:fill="auto"/>
            <w:noWrap/>
            <w:vAlign w:val="center"/>
          </w:tcPr>
          <w:p w14:paraId="729A46B8" w14:textId="6BCFAE93" w:rsidR="00D55F4F" w:rsidRPr="006E028D" w:rsidRDefault="00D55F4F" w:rsidP="110985B9">
            <w:pPr>
              <w:spacing w:after="0" w:line="240" w:lineRule="auto"/>
              <w:jc w:val="right"/>
              <w:rPr>
                <w:rFonts w:cs="Arial"/>
                <w:b/>
                <w:bCs/>
                <w:color w:val="000000"/>
              </w:rPr>
            </w:pPr>
            <w:r w:rsidRPr="0082290B">
              <w:rPr>
                <w:rFonts w:cs="Arial"/>
                <w:b/>
                <w:bCs/>
                <w:color w:val="000000" w:themeColor="text1"/>
              </w:rPr>
              <w:t xml:space="preserve">574,576 </w:t>
            </w:r>
          </w:p>
        </w:tc>
        <w:tc>
          <w:tcPr>
            <w:tcW w:w="1130" w:type="dxa"/>
            <w:tcBorders>
              <w:top w:val="nil"/>
              <w:left w:val="nil"/>
              <w:bottom w:val="single" w:sz="4" w:space="0" w:color="auto"/>
              <w:right w:val="single" w:sz="4" w:space="0" w:color="auto"/>
            </w:tcBorders>
            <w:shd w:val="clear" w:color="auto" w:fill="auto"/>
            <w:noWrap/>
            <w:vAlign w:val="center"/>
          </w:tcPr>
          <w:p w14:paraId="7BB036EF" w14:textId="6B9EAD31" w:rsidR="00D55F4F" w:rsidRPr="006E028D" w:rsidRDefault="00D55F4F" w:rsidP="110985B9">
            <w:pPr>
              <w:spacing w:after="0" w:line="240" w:lineRule="auto"/>
              <w:jc w:val="right"/>
              <w:rPr>
                <w:rFonts w:cs="Arial"/>
                <w:b/>
                <w:bCs/>
                <w:color w:val="000000"/>
              </w:rPr>
            </w:pPr>
            <w:r w:rsidRPr="0082290B">
              <w:rPr>
                <w:rFonts w:cs="Arial"/>
                <w:b/>
                <w:bCs/>
                <w:color w:val="000000" w:themeColor="text1"/>
              </w:rPr>
              <w:t xml:space="preserve">659,244 </w:t>
            </w:r>
          </w:p>
        </w:tc>
        <w:tc>
          <w:tcPr>
            <w:tcW w:w="1418" w:type="dxa"/>
            <w:tcBorders>
              <w:top w:val="nil"/>
              <w:left w:val="nil"/>
              <w:bottom w:val="single" w:sz="4" w:space="0" w:color="auto"/>
              <w:right w:val="single" w:sz="4" w:space="0" w:color="auto"/>
            </w:tcBorders>
            <w:shd w:val="clear" w:color="auto" w:fill="auto"/>
            <w:noWrap/>
            <w:vAlign w:val="center"/>
          </w:tcPr>
          <w:p w14:paraId="087ACEF8" w14:textId="0D39FFFD" w:rsidR="00D55F4F" w:rsidRPr="006E028D" w:rsidRDefault="00D55F4F" w:rsidP="110985B9">
            <w:pPr>
              <w:spacing w:after="0" w:line="240" w:lineRule="auto"/>
              <w:jc w:val="right"/>
              <w:rPr>
                <w:rFonts w:cs="Arial"/>
                <w:b/>
                <w:bCs/>
                <w:color w:val="000000"/>
              </w:rPr>
            </w:pPr>
            <w:r w:rsidRPr="0082290B">
              <w:rPr>
                <w:rFonts w:cs="Arial"/>
                <w:b/>
                <w:bCs/>
                <w:color w:val="000000" w:themeColor="text1"/>
              </w:rPr>
              <w:t xml:space="preserve">193,240 </w:t>
            </w:r>
          </w:p>
        </w:tc>
        <w:tc>
          <w:tcPr>
            <w:tcW w:w="1477" w:type="dxa"/>
            <w:tcBorders>
              <w:top w:val="nil"/>
              <w:left w:val="nil"/>
              <w:bottom w:val="single" w:sz="4" w:space="0" w:color="auto"/>
              <w:right w:val="single" w:sz="4" w:space="0" w:color="auto"/>
            </w:tcBorders>
            <w:shd w:val="clear" w:color="auto" w:fill="auto"/>
            <w:noWrap/>
            <w:vAlign w:val="center"/>
          </w:tcPr>
          <w:p w14:paraId="6ADAFF48" w14:textId="5538073D" w:rsidR="00D55F4F" w:rsidRPr="006E028D" w:rsidRDefault="00D55F4F" w:rsidP="110985B9">
            <w:pPr>
              <w:spacing w:after="0" w:line="240" w:lineRule="auto"/>
              <w:jc w:val="right"/>
              <w:rPr>
                <w:rFonts w:cs="Arial"/>
                <w:b/>
                <w:bCs/>
                <w:color w:val="000000"/>
              </w:rPr>
            </w:pPr>
            <w:r w:rsidRPr="0082290B">
              <w:rPr>
                <w:rFonts w:cs="Arial"/>
                <w:b/>
                <w:bCs/>
                <w:color w:val="000000" w:themeColor="text1"/>
              </w:rPr>
              <w:t>1.7%</w:t>
            </w:r>
          </w:p>
        </w:tc>
      </w:tr>
    </w:tbl>
    <w:p w14:paraId="18FA9064" w14:textId="1E2834A0" w:rsidR="007121A4" w:rsidRPr="00537E40" w:rsidRDefault="007121A4" w:rsidP="110985B9">
      <w:pPr>
        <w:spacing w:before="120"/>
        <w:rPr>
          <w:sz w:val="16"/>
          <w:szCs w:val="16"/>
        </w:rPr>
      </w:pPr>
      <w:r w:rsidRPr="110985B9">
        <w:rPr>
          <w:sz w:val="16"/>
          <w:szCs w:val="16"/>
        </w:rPr>
        <w:t xml:space="preserve">Source: SGS Economics and Planning, </w:t>
      </w:r>
      <w:r w:rsidR="00D55F4F" w:rsidRPr="110985B9">
        <w:rPr>
          <w:sz w:val="16"/>
          <w:szCs w:val="16"/>
        </w:rPr>
        <w:t>2022</w:t>
      </w:r>
      <w:r w:rsidR="00345820" w:rsidRPr="110985B9">
        <w:rPr>
          <w:sz w:val="16"/>
          <w:szCs w:val="16"/>
        </w:rPr>
        <w:t xml:space="preserve">.  </w:t>
      </w:r>
      <w:r w:rsidR="00915EAC" w:rsidRPr="110985B9">
        <w:rPr>
          <w:sz w:val="16"/>
          <w:szCs w:val="16"/>
        </w:rPr>
        <w:t>Table shows rounded figures.</w:t>
      </w:r>
    </w:p>
    <w:p w14:paraId="1413554C" w14:textId="64F782B7" w:rsidR="00F568BB" w:rsidRPr="00537E40" w:rsidRDefault="00F568BB" w:rsidP="001D104E">
      <w:pPr>
        <w:pStyle w:val="Heading2"/>
        <w:rPr>
          <w:rFonts w:hint="eastAsia"/>
        </w:rPr>
      </w:pPr>
      <w:bookmarkStart w:id="29" w:name="_Toc119682397"/>
      <w:r>
        <w:t xml:space="preserve">Floor space </w:t>
      </w:r>
      <w:r w:rsidR="00343CD2">
        <w:t xml:space="preserve">(‘000 sqm) </w:t>
      </w:r>
      <w:r>
        <w:t xml:space="preserve">by small area </w:t>
      </w:r>
      <w:r w:rsidR="00D55F4F">
        <w:t>2021</w:t>
      </w:r>
      <w:r>
        <w:t xml:space="preserve">, </w:t>
      </w:r>
      <w:r w:rsidR="00D55F4F">
        <w:t xml:space="preserve">2031 </w:t>
      </w:r>
      <w:r>
        <w:t xml:space="preserve">and </w:t>
      </w:r>
      <w:r w:rsidR="00D55F4F">
        <w:t>2041</w:t>
      </w:r>
      <w:bookmarkEnd w:id="29"/>
    </w:p>
    <w:tbl>
      <w:tblPr>
        <w:tblW w:w="9694" w:type="dxa"/>
        <w:tblLayout w:type="fixed"/>
        <w:tblLook w:val="04A0" w:firstRow="1" w:lastRow="0" w:firstColumn="1" w:lastColumn="0" w:noHBand="0" w:noVBand="1"/>
      </w:tblPr>
      <w:tblGrid>
        <w:gridCol w:w="3061"/>
        <w:gridCol w:w="1304"/>
        <w:gridCol w:w="1304"/>
        <w:gridCol w:w="1130"/>
        <w:gridCol w:w="1418"/>
        <w:gridCol w:w="1477"/>
      </w:tblGrid>
      <w:tr w:rsidR="00E57B1C" w:rsidRPr="00537E40" w14:paraId="1045FF01" w14:textId="77777777" w:rsidTr="110985B9">
        <w:trPr>
          <w:trHeight w:val="285"/>
        </w:trPr>
        <w:tc>
          <w:tcPr>
            <w:tcW w:w="3061" w:type="dxa"/>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751D8522" w14:textId="77777777" w:rsidR="00E57B1C" w:rsidRPr="00B07612" w:rsidRDefault="00E57B1C" w:rsidP="00E57B1C">
            <w:pPr>
              <w:spacing w:after="0" w:line="240" w:lineRule="auto"/>
              <w:rPr>
                <w:rFonts w:eastAsia="Times New Roman" w:cs="Arial"/>
                <w:b/>
                <w:bCs/>
                <w:color w:val="000000"/>
                <w:szCs w:val="20"/>
                <w:lang w:eastAsia="en-AU"/>
              </w:rPr>
            </w:pPr>
            <w:r>
              <w:rPr>
                <w:rFonts w:eastAsia="Times New Roman" w:cs="Arial"/>
                <w:b/>
                <w:bCs/>
                <w:color w:val="000000"/>
                <w:szCs w:val="20"/>
                <w:lang w:eastAsia="en-AU"/>
              </w:rPr>
              <w:t>CLUE small area</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8E6EA" w14:textId="5DC8D99A" w:rsidR="00E57B1C" w:rsidRPr="00B07612" w:rsidRDefault="00D55F4F"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2021</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3DDB1" w14:textId="24FF3359" w:rsidR="00E57B1C" w:rsidRPr="00B07612" w:rsidRDefault="00D55F4F"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2031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A5ED" w14:textId="544719BD" w:rsidR="00E57B1C" w:rsidRPr="00B07612" w:rsidRDefault="00D55F4F"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2041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5238468" w14:textId="30193D6D"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Change 202</w:t>
            </w:r>
            <w:r w:rsidR="00D55F4F" w:rsidRPr="110985B9">
              <w:rPr>
                <w:rFonts w:eastAsia="Times New Roman" w:cs="Arial"/>
                <w:b/>
                <w:bCs/>
                <w:color w:val="000000" w:themeColor="text1"/>
                <w:lang w:eastAsia="en-AU"/>
              </w:rPr>
              <w:t>1</w:t>
            </w:r>
            <w:r w:rsidRPr="110985B9">
              <w:rPr>
                <w:rFonts w:eastAsia="Times New Roman" w:cs="Arial"/>
                <w:b/>
                <w:bCs/>
                <w:color w:val="000000" w:themeColor="text1"/>
                <w:lang w:eastAsia="en-AU"/>
              </w:rPr>
              <w:t>-</w:t>
            </w:r>
            <w:r w:rsidR="00D55F4F" w:rsidRPr="110985B9">
              <w:rPr>
                <w:rFonts w:eastAsia="Times New Roman" w:cs="Arial"/>
                <w:b/>
                <w:bCs/>
                <w:color w:val="000000" w:themeColor="text1"/>
                <w:lang w:eastAsia="en-AU"/>
              </w:rPr>
              <w:t>2041</w:t>
            </w:r>
          </w:p>
        </w:tc>
        <w:tc>
          <w:tcPr>
            <w:tcW w:w="1477" w:type="dxa"/>
            <w:tcBorders>
              <w:top w:val="single" w:sz="4" w:space="0" w:color="auto"/>
              <w:left w:val="nil"/>
              <w:bottom w:val="single" w:sz="4" w:space="0" w:color="auto"/>
              <w:right w:val="single" w:sz="4" w:space="0" w:color="auto"/>
            </w:tcBorders>
            <w:shd w:val="clear" w:color="auto" w:fill="auto"/>
            <w:vAlign w:val="center"/>
          </w:tcPr>
          <w:p w14:paraId="5AAB61D5" w14:textId="51C4267A"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 xml:space="preserve">Avg. Annual Growth Rate </w:t>
            </w:r>
            <w:r w:rsidR="00D55F4F" w:rsidRPr="110985B9">
              <w:rPr>
                <w:rFonts w:eastAsia="Times New Roman" w:cs="Arial"/>
                <w:b/>
                <w:bCs/>
                <w:color w:val="000000" w:themeColor="text1"/>
                <w:lang w:eastAsia="en-AU"/>
              </w:rPr>
              <w:t>2021</w:t>
            </w:r>
            <w:r w:rsidRPr="110985B9">
              <w:rPr>
                <w:rFonts w:eastAsia="Times New Roman" w:cs="Arial"/>
                <w:b/>
                <w:bCs/>
                <w:color w:val="000000" w:themeColor="text1"/>
                <w:lang w:eastAsia="en-AU"/>
              </w:rPr>
              <w:t>-</w:t>
            </w:r>
            <w:r w:rsidR="00D55F4F" w:rsidRPr="110985B9">
              <w:rPr>
                <w:rFonts w:eastAsia="Times New Roman" w:cs="Arial"/>
                <w:b/>
                <w:bCs/>
                <w:color w:val="000000" w:themeColor="text1"/>
                <w:lang w:eastAsia="en-AU"/>
              </w:rPr>
              <w:t>2041</w:t>
            </w:r>
          </w:p>
        </w:tc>
      </w:tr>
      <w:tr w:rsidR="00D55F4F" w:rsidRPr="00537E40" w14:paraId="7262B353"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4DFDB70A" w14:textId="77777777" w:rsidR="00D55F4F" w:rsidRDefault="00D55F4F" w:rsidP="00D55F4F">
            <w:pPr>
              <w:spacing w:after="0" w:line="240" w:lineRule="auto"/>
              <w:rPr>
                <w:rFonts w:cs="Arial"/>
                <w:b/>
                <w:bCs/>
                <w:color w:val="000000"/>
                <w:szCs w:val="20"/>
                <w:lang w:eastAsia="en-AU"/>
              </w:rPr>
            </w:pPr>
            <w:r>
              <w:rPr>
                <w:rFonts w:cs="Arial"/>
                <w:b/>
                <w:bCs/>
                <w:color w:val="000000"/>
                <w:szCs w:val="20"/>
              </w:rPr>
              <w:t>Carlton</w:t>
            </w:r>
          </w:p>
        </w:tc>
        <w:tc>
          <w:tcPr>
            <w:tcW w:w="1304" w:type="dxa"/>
            <w:tcBorders>
              <w:top w:val="nil"/>
              <w:left w:val="nil"/>
              <w:bottom w:val="single" w:sz="4" w:space="0" w:color="auto"/>
              <w:right w:val="single" w:sz="4" w:space="0" w:color="auto"/>
            </w:tcBorders>
            <w:shd w:val="clear" w:color="auto" w:fill="auto"/>
            <w:noWrap/>
            <w:vAlign w:val="center"/>
          </w:tcPr>
          <w:p w14:paraId="79AC7307" w14:textId="6A58CA10" w:rsidR="00D55F4F" w:rsidRDefault="00D55F4F" w:rsidP="110985B9">
            <w:pPr>
              <w:spacing w:after="0" w:line="240" w:lineRule="auto"/>
              <w:jc w:val="right"/>
              <w:rPr>
                <w:rFonts w:cs="Arial"/>
                <w:color w:val="000000"/>
              </w:rPr>
            </w:pPr>
            <w:r w:rsidRPr="0082290B">
              <w:rPr>
                <w:rFonts w:cs="Arial"/>
                <w:color w:val="000000" w:themeColor="text1"/>
              </w:rPr>
              <w:t xml:space="preserve">      1,841 </w:t>
            </w:r>
          </w:p>
        </w:tc>
        <w:tc>
          <w:tcPr>
            <w:tcW w:w="1304" w:type="dxa"/>
            <w:tcBorders>
              <w:top w:val="nil"/>
              <w:left w:val="nil"/>
              <w:bottom w:val="single" w:sz="4" w:space="0" w:color="auto"/>
              <w:right w:val="single" w:sz="4" w:space="0" w:color="auto"/>
            </w:tcBorders>
            <w:shd w:val="clear" w:color="auto" w:fill="auto"/>
            <w:noWrap/>
            <w:vAlign w:val="center"/>
          </w:tcPr>
          <w:p w14:paraId="158CD9EB" w14:textId="69340EBE" w:rsidR="00D55F4F" w:rsidRDefault="00D55F4F" w:rsidP="110985B9">
            <w:pPr>
              <w:spacing w:after="0"/>
              <w:jc w:val="right"/>
              <w:rPr>
                <w:rFonts w:cs="Arial"/>
                <w:color w:val="000000"/>
              </w:rPr>
            </w:pPr>
            <w:r w:rsidRPr="0082290B">
              <w:rPr>
                <w:rFonts w:cs="Arial"/>
                <w:color w:val="000000" w:themeColor="text1"/>
              </w:rPr>
              <w:t xml:space="preserve">      2,203 </w:t>
            </w:r>
          </w:p>
        </w:tc>
        <w:tc>
          <w:tcPr>
            <w:tcW w:w="1130" w:type="dxa"/>
            <w:tcBorders>
              <w:top w:val="nil"/>
              <w:left w:val="nil"/>
              <w:bottom w:val="single" w:sz="4" w:space="0" w:color="auto"/>
              <w:right w:val="single" w:sz="4" w:space="0" w:color="auto"/>
            </w:tcBorders>
            <w:shd w:val="clear" w:color="auto" w:fill="auto"/>
            <w:noWrap/>
            <w:vAlign w:val="center"/>
          </w:tcPr>
          <w:p w14:paraId="0F53AAE6" w14:textId="736E3026" w:rsidR="00D55F4F" w:rsidRDefault="00D55F4F" w:rsidP="110985B9">
            <w:pPr>
              <w:spacing w:after="0"/>
              <w:jc w:val="right"/>
              <w:rPr>
                <w:rFonts w:cs="Arial"/>
                <w:color w:val="000000"/>
              </w:rPr>
            </w:pPr>
            <w:r w:rsidRPr="0082290B">
              <w:rPr>
                <w:rFonts w:cs="Arial"/>
                <w:color w:val="000000" w:themeColor="text1"/>
              </w:rPr>
              <w:t xml:space="preserve">      2,466 </w:t>
            </w:r>
          </w:p>
        </w:tc>
        <w:tc>
          <w:tcPr>
            <w:tcW w:w="1418" w:type="dxa"/>
            <w:tcBorders>
              <w:top w:val="nil"/>
              <w:left w:val="nil"/>
              <w:bottom w:val="single" w:sz="4" w:space="0" w:color="auto"/>
              <w:right w:val="single" w:sz="4" w:space="0" w:color="auto"/>
            </w:tcBorders>
            <w:shd w:val="clear" w:color="auto" w:fill="auto"/>
            <w:noWrap/>
            <w:vAlign w:val="center"/>
          </w:tcPr>
          <w:p w14:paraId="37D16FC5" w14:textId="654E31F5" w:rsidR="00D55F4F" w:rsidRDefault="00D55F4F" w:rsidP="110985B9">
            <w:pPr>
              <w:spacing w:after="0"/>
              <w:jc w:val="right"/>
              <w:rPr>
                <w:rFonts w:cs="Arial"/>
                <w:color w:val="000000"/>
              </w:rPr>
            </w:pPr>
            <w:r w:rsidRPr="0082290B">
              <w:rPr>
                <w:rFonts w:cs="Arial"/>
                <w:color w:val="000000" w:themeColor="text1"/>
              </w:rPr>
              <w:t xml:space="preserve">         625 </w:t>
            </w:r>
          </w:p>
        </w:tc>
        <w:tc>
          <w:tcPr>
            <w:tcW w:w="1477" w:type="dxa"/>
            <w:tcBorders>
              <w:top w:val="nil"/>
              <w:left w:val="nil"/>
              <w:bottom w:val="single" w:sz="4" w:space="0" w:color="auto"/>
              <w:right w:val="single" w:sz="4" w:space="0" w:color="auto"/>
            </w:tcBorders>
            <w:shd w:val="clear" w:color="auto" w:fill="auto"/>
            <w:noWrap/>
            <w:vAlign w:val="center"/>
          </w:tcPr>
          <w:p w14:paraId="0133129F" w14:textId="647F96F2" w:rsidR="00D55F4F" w:rsidRDefault="00D55F4F" w:rsidP="110985B9">
            <w:pPr>
              <w:spacing w:after="0"/>
              <w:jc w:val="right"/>
              <w:rPr>
                <w:rFonts w:cs="Arial"/>
                <w:color w:val="000000"/>
              </w:rPr>
            </w:pPr>
            <w:r w:rsidRPr="0082290B">
              <w:rPr>
                <w:rFonts w:cs="Arial"/>
                <w:color w:val="000000" w:themeColor="text1"/>
              </w:rPr>
              <w:t>1.5%</w:t>
            </w:r>
          </w:p>
        </w:tc>
      </w:tr>
      <w:tr w:rsidR="00D55F4F" w:rsidRPr="00537E40" w14:paraId="4557F058"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3DF9111C" w14:textId="77777777" w:rsidR="00D55F4F" w:rsidRDefault="00D55F4F" w:rsidP="00D55F4F">
            <w:pPr>
              <w:spacing w:after="0"/>
              <w:rPr>
                <w:rFonts w:cs="Arial"/>
                <w:b/>
                <w:bCs/>
                <w:color w:val="000000"/>
                <w:szCs w:val="20"/>
              </w:rPr>
            </w:pPr>
            <w:r>
              <w:rPr>
                <w:rFonts w:cs="Arial"/>
                <w:b/>
                <w:bCs/>
                <w:color w:val="000000"/>
                <w:szCs w:val="20"/>
              </w:rPr>
              <w:t>Docklands</w:t>
            </w:r>
          </w:p>
        </w:tc>
        <w:tc>
          <w:tcPr>
            <w:tcW w:w="1304" w:type="dxa"/>
            <w:tcBorders>
              <w:top w:val="nil"/>
              <w:left w:val="nil"/>
              <w:bottom w:val="single" w:sz="4" w:space="0" w:color="auto"/>
              <w:right w:val="single" w:sz="4" w:space="0" w:color="auto"/>
            </w:tcBorders>
            <w:shd w:val="clear" w:color="auto" w:fill="auto"/>
            <w:noWrap/>
            <w:vAlign w:val="center"/>
          </w:tcPr>
          <w:p w14:paraId="5A527C80" w14:textId="164E7628" w:rsidR="00D55F4F" w:rsidRDefault="00D55F4F" w:rsidP="110985B9">
            <w:pPr>
              <w:spacing w:after="0" w:line="240" w:lineRule="auto"/>
              <w:jc w:val="right"/>
              <w:rPr>
                <w:rFonts w:cs="Arial"/>
                <w:color w:val="000000"/>
              </w:rPr>
            </w:pPr>
            <w:r w:rsidRPr="110985B9">
              <w:rPr>
                <w:rFonts w:cs="Arial"/>
                <w:color w:val="000000" w:themeColor="text1"/>
              </w:rPr>
              <w:t xml:space="preserve">      2,568 </w:t>
            </w:r>
          </w:p>
        </w:tc>
        <w:tc>
          <w:tcPr>
            <w:tcW w:w="1304" w:type="dxa"/>
            <w:tcBorders>
              <w:top w:val="nil"/>
              <w:left w:val="nil"/>
              <w:bottom w:val="single" w:sz="4" w:space="0" w:color="auto"/>
              <w:right w:val="single" w:sz="4" w:space="0" w:color="auto"/>
            </w:tcBorders>
            <w:shd w:val="clear" w:color="auto" w:fill="auto"/>
            <w:noWrap/>
            <w:vAlign w:val="center"/>
          </w:tcPr>
          <w:p w14:paraId="3E2504D1" w14:textId="76F23FBA" w:rsidR="00D55F4F" w:rsidRDefault="00D55F4F" w:rsidP="110985B9">
            <w:pPr>
              <w:spacing w:after="0" w:line="240" w:lineRule="auto"/>
              <w:jc w:val="right"/>
              <w:rPr>
                <w:rFonts w:cs="Arial"/>
                <w:color w:val="000000"/>
              </w:rPr>
            </w:pPr>
            <w:r w:rsidRPr="0082290B">
              <w:rPr>
                <w:rFonts w:cs="Arial"/>
                <w:color w:val="000000" w:themeColor="text1"/>
              </w:rPr>
              <w:t xml:space="preserve">      2,910 </w:t>
            </w:r>
          </w:p>
        </w:tc>
        <w:tc>
          <w:tcPr>
            <w:tcW w:w="1130" w:type="dxa"/>
            <w:tcBorders>
              <w:top w:val="nil"/>
              <w:left w:val="nil"/>
              <w:bottom w:val="single" w:sz="4" w:space="0" w:color="auto"/>
              <w:right w:val="single" w:sz="4" w:space="0" w:color="auto"/>
            </w:tcBorders>
            <w:shd w:val="clear" w:color="auto" w:fill="auto"/>
            <w:noWrap/>
            <w:vAlign w:val="center"/>
          </w:tcPr>
          <w:p w14:paraId="3C234E8E" w14:textId="319AD351" w:rsidR="00D55F4F" w:rsidRDefault="00D55F4F" w:rsidP="110985B9">
            <w:pPr>
              <w:spacing w:after="0" w:line="240" w:lineRule="auto"/>
              <w:jc w:val="right"/>
              <w:rPr>
                <w:rFonts w:cs="Arial"/>
                <w:color w:val="000000"/>
              </w:rPr>
            </w:pPr>
            <w:r w:rsidRPr="0082290B">
              <w:rPr>
                <w:rFonts w:cs="Arial"/>
                <w:color w:val="000000" w:themeColor="text1"/>
              </w:rPr>
              <w:t xml:space="preserve">      3,315 </w:t>
            </w:r>
          </w:p>
        </w:tc>
        <w:tc>
          <w:tcPr>
            <w:tcW w:w="1418" w:type="dxa"/>
            <w:tcBorders>
              <w:top w:val="nil"/>
              <w:left w:val="nil"/>
              <w:bottom w:val="single" w:sz="4" w:space="0" w:color="auto"/>
              <w:right w:val="single" w:sz="4" w:space="0" w:color="auto"/>
            </w:tcBorders>
            <w:shd w:val="clear" w:color="auto" w:fill="auto"/>
            <w:noWrap/>
            <w:vAlign w:val="center"/>
          </w:tcPr>
          <w:p w14:paraId="7EB536AE" w14:textId="37C76F1E" w:rsidR="00D55F4F" w:rsidRDefault="00D55F4F" w:rsidP="110985B9">
            <w:pPr>
              <w:spacing w:after="0" w:line="240" w:lineRule="auto"/>
              <w:jc w:val="right"/>
              <w:rPr>
                <w:rFonts w:cs="Arial"/>
                <w:color w:val="000000"/>
              </w:rPr>
            </w:pPr>
            <w:r w:rsidRPr="0082290B">
              <w:rPr>
                <w:rFonts w:cs="Arial"/>
                <w:color w:val="000000" w:themeColor="text1"/>
              </w:rPr>
              <w:t xml:space="preserve">         747 </w:t>
            </w:r>
          </w:p>
        </w:tc>
        <w:tc>
          <w:tcPr>
            <w:tcW w:w="1477" w:type="dxa"/>
            <w:tcBorders>
              <w:top w:val="nil"/>
              <w:left w:val="nil"/>
              <w:bottom w:val="single" w:sz="4" w:space="0" w:color="auto"/>
              <w:right w:val="single" w:sz="4" w:space="0" w:color="auto"/>
            </w:tcBorders>
            <w:shd w:val="clear" w:color="auto" w:fill="auto"/>
            <w:noWrap/>
            <w:vAlign w:val="center"/>
          </w:tcPr>
          <w:p w14:paraId="4B9D5D1F" w14:textId="23407855" w:rsidR="00D55F4F" w:rsidRDefault="00D55F4F" w:rsidP="110985B9">
            <w:pPr>
              <w:spacing w:after="0" w:line="240" w:lineRule="auto"/>
              <w:jc w:val="right"/>
              <w:rPr>
                <w:rFonts w:cs="Arial"/>
                <w:color w:val="000000"/>
              </w:rPr>
            </w:pPr>
            <w:r w:rsidRPr="0082290B">
              <w:rPr>
                <w:rFonts w:cs="Arial"/>
                <w:color w:val="000000" w:themeColor="text1"/>
              </w:rPr>
              <w:t>1.3%</w:t>
            </w:r>
          </w:p>
        </w:tc>
      </w:tr>
      <w:tr w:rsidR="00D55F4F" w:rsidRPr="00537E40" w14:paraId="2F435CAF"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7935C3E1" w14:textId="77777777" w:rsidR="00D55F4F" w:rsidRDefault="00D55F4F" w:rsidP="00D55F4F">
            <w:pPr>
              <w:spacing w:after="0"/>
              <w:rPr>
                <w:rFonts w:cs="Arial"/>
                <w:b/>
                <w:bCs/>
                <w:color w:val="000000"/>
                <w:szCs w:val="20"/>
              </w:rPr>
            </w:pPr>
            <w:r>
              <w:rPr>
                <w:rFonts w:cs="Arial"/>
                <w:b/>
                <w:bCs/>
                <w:color w:val="000000"/>
                <w:szCs w:val="20"/>
              </w:rPr>
              <w:t>East Melbourne</w:t>
            </w:r>
          </w:p>
        </w:tc>
        <w:tc>
          <w:tcPr>
            <w:tcW w:w="1304" w:type="dxa"/>
            <w:tcBorders>
              <w:top w:val="nil"/>
              <w:left w:val="nil"/>
              <w:bottom w:val="single" w:sz="4" w:space="0" w:color="auto"/>
              <w:right w:val="single" w:sz="4" w:space="0" w:color="auto"/>
            </w:tcBorders>
            <w:shd w:val="clear" w:color="auto" w:fill="auto"/>
            <w:noWrap/>
            <w:vAlign w:val="center"/>
          </w:tcPr>
          <w:p w14:paraId="05414240" w14:textId="44C3478F" w:rsidR="00D55F4F" w:rsidRDefault="00D55F4F" w:rsidP="110985B9">
            <w:pPr>
              <w:spacing w:after="0" w:line="240" w:lineRule="auto"/>
              <w:jc w:val="right"/>
              <w:rPr>
                <w:rFonts w:cs="Arial"/>
                <w:color w:val="000000"/>
              </w:rPr>
            </w:pPr>
            <w:r w:rsidRPr="110985B9">
              <w:rPr>
                <w:rFonts w:cs="Arial"/>
                <w:color w:val="000000" w:themeColor="text1"/>
              </w:rPr>
              <w:t xml:space="preserve">      1,042 </w:t>
            </w:r>
          </w:p>
        </w:tc>
        <w:tc>
          <w:tcPr>
            <w:tcW w:w="1304" w:type="dxa"/>
            <w:tcBorders>
              <w:top w:val="nil"/>
              <w:left w:val="nil"/>
              <w:bottom w:val="single" w:sz="4" w:space="0" w:color="auto"/>
              <w:right w:val="single" w:sz="4" w:space="0" w:color="auto"/>
            </w:tcBorders>
            <w:shd w:val="clear" w:color="auto" w:fill="auto"/>
            <w:noWrap/>
            <w:vAlign w:val="center"/>
          </w:tcPr>
          <w:p w14:paraId="333BC401" w14:textId="392E37FA" w:rsidR="00D55F4F" w:rsidRDefault="00D55F4F" w:rsidP="110985B9">
            <w:pPr>
              <w:spacing w:after="0" w:line="240" w:lineRule="auto"/>
              <w:jc w:val="right"/>
              <w:rPr>
                <w:rFonts w:cs="Arial"/>
                <w:color w:val="000000"/>
              </w:rPr>
            </w:pPr>
            <w:r w:rsidRPr="0082290B">
              <w:rPr>
                <w:rFonts w:cs="Arial"/>
                <w:color w:val="000000" w:themeColor="text1"/>
              </w:rPr>
              <w:t xml:space="preserve">      1,147 </w:t>
            </w:r>
          </w:p>
        </w:tc>
        <w:tc>
          <w:tcPr>
            <w:tcW w:w="1130" w:type="dxa"/>
            <w:tcBorders>
              <w:top w:val="nil"/>
              <w:left w:val="nil"/>
              <w:bottom w:val="single" w:sz="4" w:space="0" w:color="auto"/>
              <w:right w:val="single" w:sz="4" w:space="0" w:color="auto"/>
            </w:tcBorders>
            <w:shd w:val="clear" w:color="auto" w:fill="auto"/>
            <w:noWrap/>
            <w:vAlign w:val="center"/>
          </w:tcPr>
          <w:p w14:paraId="2A447AED" w14:textId="756C1B1C" w:rsidR="00D55F4F" w:rsidRDefault="00D55F4F" w:rsidP="110985B9">
            <w:pPr>
              <w:spacing w:after="0" w:line="240" w:lineRule="auto"/>
              <w:jc w:val="right"/>
              <w:rPr>
                <w:rFonts w:cs="Arial"/>
                <w:color w:val="000000"/>
              </w:rPr>
            </w:pPr>
            <w:r w:rsidRPr="0082290B">
              <w:rPr>
                <w:rFonts w:cs="Arial"/>
                <w:color w:val="000000" w:themeColor="text1"/>
              </w:rPr>
              <w:t xml:space="preserve">      1,213 </w:t>
            </w:r>
          </w:p>
        </w:tc>
        <w:tc>
          <w:tcPr>
            <w:tcW w:w="1418" w:type="dxa"/>
            <w:tcBorders>
              <w:top w:val="nil"/>
              <w:left w:val="nil"/>
              <w:bottom w:val="single" w:sz="4" w:space="0" w:color="auto"/>
              <w:right w:val="single" w:sz="4" w:space="0" w:color="auto"/>
            </w:tcBorders>
            <w:shd w:val="clear" w:color="auto" w:fill="auto"/>
            <w:noWrap/>
            <w:vAlign w:val="center"/>
          </w:tcPr>
          <w:p w14:paraId="0A1BB212" w14:textId="70370ABC" w:rsidR="00D55F4F" w:rsidRDefault="00D55F4F" w:rsidP="110985B9">
            <w:pPr>
              <w:spacing w:after="0" w:line="240" w:lineRule="auto"/>
              <w:jc w:val="right"/>
              <w:rPr>
                <w:rFonts w:cs="Arial"/>
                <w:color w:val="000000"/>
              </w:rPr>
            </w:pPr>
            <w:r w:rsidRPr="0082290B">
              <w:rPr>
                <w:rFonts w:cs="Arial"/>
                <w:color w:val="000000" w:themeColor="text1"/>
              </w:rPr>
              <w:t xml:space="preserve">         171 </w:t>
            </w:r>
          </w:p>
        </w:tc>
        <w:tc>
          <w:tcPr>
            <w:tcW w:w="1477" w:type="dxa"/>
            <w:tcBorders>
              <w:top w:val="nil"/>
              <w:left w:val="nil"/>
              <w:bottom w:val="single" w:sz="4" w:space="0" w:color="auto"/>
              <w:right w:val="single" w:sz="4" w:space="0" w:color="auto"/>
            </w:tcBorders>
            <w:shd w:val="clear" w:color="auto" w:fill="auto"/>
            <w:noWrap/>
            <w:vAlign w:val="center"/>
          </w:tcPr>
          <w:p w14:paraId="28EAA030" w14:textId="02F6CD2A" w:rsidR="00D55F4F" w:rsidRDefault="00D55F4F" w:rsidP="110985B9">
            <w:pPr>
              <w:spacing w:after="0" w:line="240" w:lineRule="auto"/>
              <w:jc w:val="right"/>
              <w:rPr>
                <w:rFonts w:cs="Arial"/>
                <w:color w:val="000000"/>
              </w:rPr>
            </w:pPr>
            <w:r w:rsidRPr="0082290B">
              <w:rPr>
                <w:rFonts w:cs="Arial"/>
                <w:color w:val="000000" w:themeColor="text1"/>
              </w:rPr>
              <w:t>0.8%</w:t>
            </w:r>
          </w:p>
        </w:tc>
      </w:tr>
      <w:tr w:rsidR="00D55F4F" w:rsidRPr="00537E40" w14:paraId="0DC18FEC"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05039D32" w14:textId="77777777" w:rsidR="00D55F4F" w:rsidRDefault="00D55F4F" w:rsidP="00D55F4F">
            <w:pPr>
              <w:spacing w:after="0"/>
              <w:rPr>
                <w:rFonts w:cs="Arial"/>
                <w:b/>
                <w:bCs/>
                <w:color w:val="000000"/>
                <w:szCs w:val="20"/>
              </w:rPr>
            </w:pPr>
            <w:r>
              <w:rPr>
                <w:rFonts w:cs="Arial"/>
                <w:b/>
                <w:bCs/>
                <w:color w:val="000000"/>
                <w:szCs w:val="20"/>
              </w:rPr>
              <w:t>Kensington</w:t>
            </w:r>
          </w:p>
        </w:tc>
        <w:tc>
          <w:tcPr>
            <w:tcW w:w="1304" w:type="dxa"/>
            <w:tcBorders>
              <w:top w:val="nil"/>
              <w:left w:val="nil"/>
              <w:bottom w:val="single" w:sz="4" w:space="0" w:color="auto"/>
              <w:right w:val="single" w:sz="4" w:space="0" w:color="auto"/>
            </w:tcBorders>
            <w:shd w:val="clear" w:color="auto" w:fill="auto"/>
            <w:noWrap/>
            <w:vAlign w:val="center"/>
          </w:tcPr>
          <w:p w14:paraId="170D0BA0" w14:textId="3C943331" w:rsidR="00D55F4F" w:rsidRDefault="00D55F4F" w:rsidP="110985B9">
            <w:pPr>
              <w:spacing w:after="0" w:line="240" w:lineRule="auto"/>
              <w:jc w:val="right"/>
              <w:rPr>
                <w:rFonts w:cs="Arial"/>
                <w:color w:val="000000"/>
              </w:rPr>
            </w:pPr>
            <w:r w:rsidRPr="110985B9">
              <w:rPr>
                <w:rFonts w:cs="Arial"/>
                <w:color w:val="000000" w:themeColor="text1"/>
              </w:rPr>
              <w:t xml:space="preserve">      1,458 </w:t>
            </w:r>
          </w:p>
        </w:tc>
        <w:tc>
          <w:tcPr>
            <w:tcW w:w="1304" w:type="dxa"/>
            <w:tcBorders>
              <w:top w:val="nil"/>
              <w:left w:val="nil"/>
              <w:bottom w:val="single" w:sz="4" w:space="0" w:color="auto"/>
              <w:right w:val="single" w:sz="4" w:space="0" w:color="auto"/>
            </w:tcBorders>
            <w:shd w:val="clear" w:color="auto" w:fill="auto"/>
            <w:noWrap/>
            <w:vAlign w:val="center"/>
          </w:tcPr>
          <w:p w14:paraId="4038D511" w14:textId="1FD8B11B" w:rsidR="00D55F4F" w:rsidRDefault="00D55F4F" w:rsidP="110985B9">
            <w:pPr>
              <w:spacing w:after="0" w:line="240" w:lineRule="auto"/>
              <w:jc w:val="right"/>
              <w:rPr>
                <w:rFonts w:cs="Arial"/>
                <w:color w:val="000000"/>
              </w:rPr>
            </w:pPr>
            <w:r w:rsidRPr="0082290B">
              <w:rPr>
                <w:rFonts w:cs="Arial"/>
                <w:color w:val="000000" w:themeColor="text1"/>
              </w:rPr>
              <w:t xml:space="preserve">      1,567 </w:t>
            </w:r>
          </w:p>
        </w:tc>
        <w:tc>
          <w:tcPr>
            <w:tcW w:w="1130" w:type="dxa"/>
            <w:tcBorders>
              <w:top w:val="nil"/>
              <w:left w:val="nil"/>
              <w:bottom w:val="single" w:sz="4" w:space="0" w:color="auto"/>
              <w:right w:val="single" w:sz="4" w:space="0" w:color="auto"/>
            </w:tcBorders>
            <w:shd w:val="clear" w:color="auto" w:fill="auto"/>
            <w:noWrap/>
            <w:vAlign w:val="center"/>
          </w:tcPr>
          <w:p w14:paraId="2AFC77B2" w14:textId="45F88D95" w:rsidR="00D55F4F" w:rsidRDefault="00D55F4F" w:rsidP="110985B9">
            <w:pPr>
              <w:spacing w:after="0" w:line="240" w:lineRule="auto"/>
              <w:jc w:val="right"/>
              <w:rPr>
                <w:rFonts w:cs="Arial"/>
                <w:color w:val="000000"/>
              </w:rPr>
            </w:pPr>
            <w:r w:rsidRPr="0082290B">
              <w:rPr>
                <w:rFonts w:cs="Arial"/>
                <w:color w:val="000000" w:themeColor="text1"/>
              </w:rPr>
              <w:t xml:space="preserve">      1,721 </w:t>
            </w:r>
          </w:p>
        </w:tc>
        <w:tc>
          <w:tcPr>
            <w:tcW w:w="1418" w:type="dxa"/>
            <w:tcBorders>
              <w:top w:val="nil"/>
              <w:left w:val="nil"/>
              <w:bottom w:val="single" w:sz="4" w:space="0" w:color="auto"/>
              <w:right w:val="single" w:sz="4" w:space="0" w:color="auto"/>
            </w:tcBorders>
            <w:shd w:val="clear" w:color="auto" w:fill="auto"/>
            <w:noWrap/>
            <w:vAlign w:val="center"/>
          </w:tcPr>
          <w:p w14:paraId="705A81F3" w14:textId="2A7B5FE0" w:rsidR="00D55F4F" w:rsidRDefault="00D55F4F" w:rsidP="110985B9">
            <w:pPr>
              <w:spacing w:after="0" w:line="240" w:lineRule="auto"/>
              <w:jc w:val="right"/>
              <w:rPr>
                <w:rFonts w:cs="Arial"/>
                <w:color w:val="000000"/>
              </w:rPr>
            </w:pPr>
            <w:r w:rsidRPr="0082290B">
              <w:rPr>
                <w:rFonts w:cs="Arial"/>
                <w:color w:val="000000" w:themeColor="text1"/>
              </w:rPr>
              <w:t xml:space="preserve">         263 </w:t>
            </w:r>
          </w:p>
        </w:tc>
        <w:tc>
          <w:tcPr>
            <w:tcW w:w="1477" w:type="dxa"/>
            <w:tcBorders>
              <w:top w:val="nil"/>
              <w:left w:val="nil"/>
              <w:bottom w:val="single" w:sz="4" w:space="0" w:color="auto"/>
              <w:right w:val="single" w:sz="4" w:space="0" w:color="auto"/>
            </w:tcBorders>
            <w:shd w:val="clear" w:color="auto" w:fill="auto"/>
            <w:noWrap/>
            <w:vAlign w:val="center"/>
          </w:tcPr>
          <w:p w14:paraId="7006D036" w14:textId="51A5C0A7" w:rsidR="00D55F4F" w:rsidRDefault="00D55F4F" w:rsidP="110985B9">
            <w:pPr>
              <w:spacing w:after="0" w:line="240" w:lineRule="auto"/>
              <w:jc w:val="right"/>
              <w:rPr>
                <w:rFonts w:cs="Arial"/>
                <w:color w:val="000000"/>
              </w:rPr>
            </w:pPr>
            <w:r w:rsidRPr="0082290B">
              <w:rPr>
                <w:rFonts w:cs="Arial"/>
                <w:color w:val="000000" w:themeColor="text1"/>
              </w:rPr>
              <w:t>0.8%</w:t>
            </w:r>
          </w:p>
        </w:tc>
      </w:tr>
      <w:tr w:rsidR="00D55F4F" w:rsidRPr="00537E40" w14:paraId="12A7033D"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2E18FE21" w14:textId="77777777" w:rsidR="00D55F4F" w:rsidRDefault="00D55F4F" w:rsidP="00D55F4F">
            <w:pPr>
              <w:spacing w:after="0"/>
              <w:rPr>
                <w:rFonts w:cs="Arial"/>
                <w:b/>
                <w:bCs/>
                <w:color w:val="000000"/>
                <w:szCs w:val="20"/>
              </w:rPr>
            </w:pPr>
            <w:r>
              <w:rPr>
                <w:rFonts w:cs="Arial"/>
                <w:b/>
                <w:bCs/>
                <w:color w:val="000000"/>
                <w:szCs w:val="20"/>
              </w:rPr>
              <w:t>Melbourne (CBD)</w:t>
            </w:r>
          </w:p>
        </w:tc>
        <w:tc>
          <w:tcPr>
            <w:tcW w:w="1304" w:type="dxa"/>
            <w:tcBorders>
              <w:top w:val="nil"/>
              <w:left w:val="nil"/>
              <w:bottom w:val="single" w:sz="4" w:space="0" w:color="auto"/>
              <w:right w:val="single" w:sz="4" w:space="0" w:color="auto"/>
            </w:tcBorders>
            <w:shd w:val="clear" w:color="auto" w:fill="auto"/>
            <w:noWrap/>
            <w:vAlign w:val="center"/>
          </w:tcPr>
          <w:p w14:paraId="70BD8F91" w14:textId="017C9636" w:rsidR="00D55F4F" w:rsidRDefault="00D55F4F" w:rsidP="110985B9">
            <w:pPr>
              <w:spacing w:after="0" w:line="240" w:lineRule="auto"/>
              <w:jc w:val="right"/>
              <w:rPr>
                <w:rFonts w:cs="Arial"/>
                <w:color w:val="000000"/>
              </w:rPr>
            </w:pPr>
            <w:r w:rsidRPr="110985B9">
              <w:rPr>
                <w:rFonts w:cs="Arial"/>
                <w:color w:val="000000" w:themeColor="text1"/>
              </w:rPr>
              <w:t xml:space="preserve">      7,495 </w:t>
            </w:r>
          </w:p>
        </w:tc>
        <w:tc>
          <w:tcPr>
            <w:tcW w:w="1304" w:type="dxa"/>
            <w:tcBorders>
              <w:top w:val="nil"/>
              <w:left w:val="nil"/>
              <w:bottom w:val="single" w:sz="4" w:space="0" w:color="auto"/>
              <w:right w:val="single" w:sz="4" w:space="0" w:color="auto"/>
            </w:tcBorders>
            <w:shd w:val="clear" w:color="auto" w:fill="auto"/>
            <w:noWrap/>
            <w:vAlign w:val="center"/>
          </w:tcPr>
          <w:p w14:paraId="44137EA5" w14:textId="75D3E6CB" w:rsidR="00D55F4F" w:rsidRDefault="00D55F4F" w:rsidP="110985B9">
            <w:pPr>
              <w:spacing w:after="0" w:line="240" w:lineRule="auto"/>
              <w:jc w:val="right"/>
              <w:rPr>
                <w:rFonts w:cs="Arial"/>
                <w:color w:val="000000"/>
              </w:rPr>
            </w:pPr>
            <w:r w:rsidRPr="0082290B">
              <w:rPr>
                <w:rFonts w:cs="Arial"/>
                <w:color w:val="000000" w:themeColor="text1"/>
              </w:rPr>
              <w:t xml:space="preserve">      8,491 </w:t>
            </w:r>
          </w:p>
        </w:tc>
        <w:tc>
          <w:tcPr>
            <w:tcW w:w="1130" w:type="dxa"/>
            <w:tcBorders>
              <w:top w:val="nil"/>
              <w:left w:val="nil"/>
              <w:bottom w:val="single" w:sz="4" w:space="0" w:color="auto"/>
              <w:right w:val="single" w:sz="4" w:space="0" w:color="auto"/>
            </w:tcBorders>
            <w:shd w:val="clear" w:color="auto" w:fill="auto"/>
            <w:noWrap/>
            <w:vAlign w:val="center"/>
          </w:tcPr>
          <w:p w14:paraId="302CADAD" w14:textId="091844DA" w:rsidR="00D55F4F" w:rsidRDefault="00D55F4F" w:rsidP="110985B9">
            <w:pPr>
              <w:spacing w:after="0" w:line="240" w:lineRule="auto"/>
              <w:jc w:val="right"/>
              <w:rPr>
                <w:rFonts w:cs="Arial"/>
                <w:color w:val="000000"/>
              </w:rPr>
            </w:pPr>
            <w:r w:rsidRPr="0082290B">
              <w:rPr>
                <w:rFonts w:cs="Arial"/>
                <w:color w:val="000000" w:themeColor="text1"/>
              </w:rPr>
              <w:t xml:space="preserve">      9,484 </w:t>
            </w:r>
          </w:p>
        </w:tc>
        <w:tc>
          <w:tcPr>
            <w:tcW w:w="1418" w:type="dxa"/>
            <w:tcBorders>
              <w:top w:val="nil"/>
              <w:left w:val="nil"/>
              <w:bottom w:val="single" w:sz="4" w:space="0" w:color="auto"/>
              <w:right w:val="single" w:sz="4" w:space="0" w:color="auto"/>
            </w:tcBorders>
            <w:shd w:val="clear" w:color="auto" w:fill="auto"/>
            <w:noWrap/>
            <w:vAlign w:val="center"/>
          </w:tcPr>
          <w:p w14:paraId="7EAB828E" w14:textId="2F0AAEC9" w:rsidR="00D55F4F" w:rsidRDefault="00D55F4F" w:rsidP="110985B9">
            <w:pPr>
              <w:spacing w:after="0" w:line="240" w:lineRule="auto"/>
              <w:jc w:val="right"/>
              <w:rPr>
                <w:rFonts w:cs="Arial"/>
                <w:color w:val="000000"/>
              </w:rPr>
            </w:pPr>
            <w:r w:rsidRPr="0082290B">
              <w:rPr>
                <w:rFonts w:cs="Arial"/>
                <w:color w:val="000000" w:themeColor="text1"/>
              </w:rPr>
              <w:t xml:space="preserve">      1,989 </w:t>
            </w:r>
          </w:p>
        </w:tc>
        <w:tc>
          <w:tcPr>
            <w:tcW w:w="1477" w:type="dxa"/>
            <w:tcBorders>
              <w:top w:val="nil"/>
              <w:left w:val="nil"/>
              <w:bottom w:val="single" w:sz="4" w:space="0" w:color="auto"/>
              <w:right w:val="single" w:sz="4" w:space="0" w:color="auto"/>
            </w:tcBorders>
            <w:shd w:val="clear" w:color="auto" w:fill="auto"/>
            <w:noWrap/>
            <w:vAlign w:val="center"/>
          </w:tcPr>
          <w:p w14:paraId="25D16428" w14:textId="058C4E56" w:rsidR="00D55F4F" w:rsidRDefault="00D55F4F" w:rsidP="110985B9">
            <w:pPr>
              <w:spacing w:after="0" w:line="240" w:lineRule="auto"/>
              <w:jc w:val="right"/>
              <w:rPr>
                <w:rFonts w:cs="Arial"/>
                <w:color w:val="000000"/>
              </w:rPr>
            </w:pPr>
            <w:r w:rsidRPr="0082290B">
              <w:rPr>
                <w:rFonts w:cs="Arial"/>
                <w:color w:val="000000" w:themeColor="text1"/>
              </w:rPr>
              <w:t>1.2%</w:t>
            </w:r>
          </w:p>
        </w:tc>
      </w:tr>
      <w:tr w:rsidR="00D55F4F" w:rsidRPr="00537E40" w14:paraId="5D6A2A85"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09D7936D" w14:textId="77777777" w:rsidR="00D55F4F" w:rsidRDefault="00D55F4F" w:rsidP="00D55F4F">
            <w:pPr>
              <w:spacing w:after="0"/>
              <w:rPr>
                <w:rFonts w:cs="Arial"/>
                <w:b/>
                <w:bCs/>
                <w:color w:val="000000"/>
                <w:szCs w:val="20"/>
              </w:rPr>
            </w:pPr>
            <w:r>
              <w:rPr>
                <w:rFonts w:cs="Arial"/>
                <w:b/>
                <w:bCs/>
                <w:color w:val="000000"/>
                <w:szCs w:val="20"/>
              </w:rPr>
              <w:t>Melbourne (Remainder)</w:t>
            </w:r>
          </w:p>
        </w:tc>
        <w:tc>
          <w:tcPr>
            <w:tcW w:w="1304" w:type="dxa"/>
            <w:tcBorders>
              <w:top w:val="nil"/>
              <w:left w:val="nil"/>
              <w:bottom w:val="single" w:sz="4" w:space="0" w:color="auto"/>
              <w:right w:val="single" w:sz="4" w:space="0" w:color="auto"/>
            </w:tcBorders>
            <w:shd w:val="clear" w:color="auto" w:fill="auto"/>
            <w:noWrap/>
            <w:vAlign w:val="center"/>
          </w:tcPr>
          <w:p w14:paraId="60FB42B1" w14:textId="46F654A8" w:rsidR="00D55F4F" w:rsidRDefault="00D55F4F" w:rsidP="110985B9">
            <w:pPr>
              <w:spacing w:after="0" w:line="240" w:lineRule="auto"/>
              <w:jc w:val="right"/>
              <w:rPr>
                <w:rFonts w:cs="Arial"/>
                <w:color w:val="000000"/>
              </w:rPr>
            </w:pPr>
            <w:r w:rsidRPr="110985B9">
              <w:rPr>
                <w:rFonts w:cs="Arial"/>
                <w:color w:val="000000" w:themeColor="text1"/>
              </w:rPr>
              <w:t xml:space="preserve">         741 </w:t>
            </w:r>
          </w:p>
        </w:tc>
        <w:tc>
          <w:tcPr>
            <w:tcW w:w="1304" w:type="dxa"/>
            <w:tcBorders>
              <w:top w:val="nil"/>
              <w:left w:val="nil"/>
              <w:bottom w:val="single" w:sz="4" w:space="0" w:color="auto"/>
              <w:right w:val="single" w:sz="4" w:space="0" w:color="auto"/>
            </w:tcBorders>
            <w:shd w:val="clear" w:color="auto" w:fill="auto"/>
            <w:noWrap/>
            <w:vAlign w:val="center"/>
          </w:tcPr>
          <w:p w14:paraId="5AE3CBCF" w14:textId="62B591CD" w:rsidR="00D55F4F" w:rsidRDefault="00D55F4F" w:rsidP="110985B9">
            <w:pPr>
              <w:spacing w:after="0" w:line="240" w:lineRule="auto"/>
              <w:jc w:val="right"/>
              <w:rPr>
                <w:rFonts w:cs="Arial"/>
                <w:color w:val="000000"/>
              </w:rPr>
            </w:pPr>
            <w:r w:rsidRPr="0082290B">
              <w:rPr>
                <w:rFonts w:cs="Arial"/>
                <w:color w:val="000000" w:themeColor="text1"/>
              </w:rPr>
              <w:t xml:space="preserve">         805 </w:t>
            </w:r>
          </w:p>
        </w:tc>
        <w:tc>
          <w:tcPr>
            <w:tcW w:w="1130" w:type="dxa"/>
            <w:tcBorders>
              <w:top w:val="nil"/>
              <w:left w:val="nil"/>
              <w:bottom w:val="single" w:sz="4" w:space="0" w:color="auto"/>
              <w:right w:val="single" w:sz="4" w:space="0" w:color="auto"/>
            </w:tcBorders>
            <w:shd w:val="clear" w:color="auto" w:fill="auto"/>
            <w:noWrap/>
            <w:vAlign w:val="center"/>
          </w:tcPr>
          <w:p w14:paraId="2BEA1148" w14:textId="38FE9CF9" w:rsidR="00D55F4F" w:rsidRDefault="00D55F4F" w:rsidP="110985B9">
            <w:pPr>
              <w:spacing w:after="0" w:line="240" w:lineRule="auto"/>
              <w:jc w:val="right"/>
              <w:rPr>
                <w:rFonts w:cs="Arial"/>
                <w:color w:val="000000"/>
              </w:rPr>
            </w:pPr>
            <w:r w:rsidRPr="0082290B">
              <w:rPr>
                <w:rFonts w:cs="Arial"/>
                <w:color w:val="000000" w:themeColor="text1"/>
              </w:rPr>
              <w:t xml:space="preserve">         820 </w:t>
            </w:r>
          </w:p>
        </w:tc>
        <w:tc>
          <w:tcPr>
            <w:tcW w:w="1418" w:type="dxa"/>
            <w:tcBorders>
              <w:top w:val="nil"/>
              <w:left w:val="nil"/>
              <w:bottom w:val="single" w:sz="4" w:space="0" w:color="auto"/>
              <w:right w:val="single" w:sz="4" w:space="0" w:color="auto"/>
            </w:tcBorders>
            <w:shd w:val="clear" w:color="auto" w:fill="auto"/>
            <w:noWrap/>
            <w:vAlign w:val="center"/>
          </w:tcPr>
          <w:p w14:paraId="39632CB0" w14:textId="058B71BF" w:rsidR="00D55F4F" w:rsidRDefault="00D55F4F" w:rsidP="110985B9">
            <w:pPr>
              <w:spacing w:after="0" w:line="240" w:lineRule="auto"/>
              <w:jc w:val="right"/>
              <w:rPr>
                <w:rFonts w:cs="Arial"/>
                <w:color w:val="000000"/>
              </w:rPr>
            </w:pPr>
            <w:r w:rsidRPr="0082290B">
              <w:rPr>
                <w:rFonts w:cs="Arial"/>
                <w:color w:val="000000" w:themeColor="text1"/>
              </w:rPr>
              <w:t xml:space="preserve">           79 </w:t>
            </w:r>
          </w:p>
        </w:tc>
        <w:tc>
          <w:tcPr>
            <w:tcW w:w="1477" w:type="dxa"/>
            <w:tcBorders>
              <w:top w:val="nil"/>
              <w:left w:val="nil"/>
              <w:bottom w:val="single" w:sz="4" w:space="0" w:color="auto"/>
              <w:right w:val="single" w:sz="4" w:space="0" w:color="auto"/>
            </w:tcBorders>
            <w:shd w:val="clear" w:color="auto" w:fill="auto"/>
            <w:noWrap/>
            <w:vAlign w:val="center"/>
          </w:tcPr>
          <w:p w14:paraId="40697250" w14:textId="7446C65E" w:rsidR="00D55F4F" w:rsidRDefault="00D55F4F" w:rsidP="110985B9">
            <w:pPr>
              <w:spacing w:after="0" w:line="240" w:lineRule="auto"/>
              <w:jc w:val="right"/>
              <w:rPr>
                <w:rFonts w:cs="Arial"/>
                <w:color w:val="000000"/>
              </w:rPr>
            </w:pPr>
            <w:r w:rsidRPr="0082290B">
              <w:rPr>
                <w:rFonts w:cs="Arial"/>
                <w:color w:val="000000" w:themeColor="text1"/>
              </w:rPr>
              <w:t>0.5%</w:t>
            </w:r>
          </w:p>
        </w:tc>
      </w:tr>
      <w:tr w:rsidR="00D55F4F" w:rsidRPr="00537E40" w14:paraId="3E769399"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7F13F1FE" w14:textId="77777777" w:rsidR="00D55F4F" w:rsidRDefault="00D55F4F" w:rsidP="00D55F4F">
            <w:pPr>
              <w:spacing w:after="0"/>
              <w:rPr>
                <w:rFonts w:cs="Arial"/>
                <w:b/>
                <w:bCs/>
                <w:color w:val="000000"/>
                <w:szCs w:val="20"/>
              </w:rPr>
            </w:pPr>
            <w:r>
              <w:rPr>
                <w:rFonts w:cs="Arial"/>
                <w:b/>
                <w:bCs/>
                <w:color w:val="000000"/>
                <w:szCs w:val="20"/>
              </w:rPr>
              <w:t>North Melbourne</w:t>
            </w:r>
          </w:p>
        </w:tc>
        <w:tc>
          <w:tcPr>
            <w:tcW w:w="1304" w:type="dxa"/>
            <w:tcBorders>
              <w:top w:val="nil"/>
              <w:left w:val="nil"/>
              <w:bottom w:val="single" w:sz="4" w:space="0" w:color="auto"/>
              <w:right w:val="single" w:sz="4" w:space="0" w:color="auto"/>
            </w:tcBorders>
            <w:shd w:val="clear" w:color="auto" w:fill="auto"/>
            <w:noWrap/>
            <w:vAlign w:val="center"/>
          </w:tcPr>
          <w:p w14:paraId="00C10AA5" w14:textId="24491F5C" w:rsidR="00D55F4F" w:rsidRDefault="00D55F4F" w:rsidP="110985B9">
            <w:pPr>
              <w:spacing w:after="0" w:line="240" w:lineRule="auto"/>
              <w:jc w:val="right"/>
              <w:rPr>
                <w:rFonts w:cs="Arial"/>
                <w:color w:val="000000"/>
              </w:rPr>
            </w:pPr>
            <w:r w:rsidRPr="110985B9">
              <w:rPr>
                <w:rFonts w:cs="Arial"/>
                <w:color w:val="000000" w:themeColor="text1"/>
              </w:rPr>
              <w:t xml:space="preserve">      1,371 </w:t>
            </w:r>
          </w:p>
        </w:tc>
        <w:tc>
          <w:tcPr>
            <w:tcW w:w="1304" w:type="dxa"/>
            <w:tcBorders>
              <w:top w:val="nil"/>
              <w:left w:val="nil"/>
              <w:bottom w:val="single" w:sz="4" w:space="0" w:color="auto"/>
              <w:right w:val="single" w:sz="4" w:space="0" w:color="auto"/>
            </w:tcBorders>
            <w:shd w:val="clear" w:color="auto" w:fill="auto"/>
            <w:noWrap/>
            <w:vAlign w:val="center"/>
          </w:tcPr>
          <w:p w14:paraId="64BFCEB7" w14:textId="3974ED8A" w:rsidR="00D55F4F" w:rsidRDefault="00D55F4F" w:rsidP="110985B9">
            <w:pPr>
              <w:spacing w:after="0" w:line="240" w:lineRule="auto"/>
              <w:jc w:val="right"/>
              <w:rPr>
                <w:rFonts w:cs="Arial"/>
                <w:color w:val="000000"/>
              </w:rPr>
            </w:pPr>
            <w:r w:rsidRPr="0082290B">
              <w:rPr>
                <w:rFonts w:cs="Arial"/>
                <w:color w:val="000000" w:themeColor="text1"/>
              </w:rPr>
              <w:t xml:space="preserve">      1,776 </w:t>
            </w:r>
          </w:p>
        </w:tc>
        <w:tc>
          <w:tcPr>
            <w:tcW w:w="1130" w:type="dxa"/>
            <w:tcBorders>
              <w:top w:val="nil"/>
              <w:left w:val="nil"/>
              <w:bottom w:val="single" w:sz="4" w:space="0" w:color="auto"/>
              <w:right w:val="single" w:sz="4" w:space="0" w:color="auto"/>
            </w:tcBorders>
            <w:shd w:val="clear" w:color="auto" w:fill="auto"/>
            <w:noWrap/>
            <w:vAlign w:val="center"/>
          </w:tcPr>
          <w:p w14:paraId="5BBE0937" w14:textId="6F16D95D" w:rsidR="00D55F4F" w:rsidRDefault="00D55F4F" w:rsidP="110985B9">
            <w:pPr>
              <w:spacing w:after="0" w:line="240" w:lineRule="auto"/>
              <w:jc w:val="right"/>
              <w:rPr>
                <w:rFonts w:cs="Arial"/>
                <w:color w:val="000000"/>
              </w:rPr>
            </w:pPr>
            <w:r w:rsidRPr="0082290B">
              <w:rPr>
                <w:rFonts w:cs="Arial"/>
                <w:color w:val="000000" w:themeColor="text1"/>
              </w:rPr>
              <w:t xml:space="preserve">      2,377 </w:t>
            </w:r>
          </w:p>
        </w:tc>
        <w:tc>
          <w:tcPr>
            <w:tcW w:w="1418" w:type="dxa"/>
            <w:tcBorders>
              <w:top w:val="nil"/>
              <w:left w:val="nil"/>
              <w:bottom w:val="single" w:sz="4" w:space="0" w:color="auto"/>
              <w:right w:val="single" w:sz="4" w:space="0" w:color="auto"/>
            </w:tcBorders>
            <w:shd w:val="clear" w:color="auto" w:fill="auto"/>
            <w:noWrap/>
            <w:vAlign w:val="center"/>
          </w:tcPr>
          <w:p w14:paraId="02EAAF2D" w14:textId="2F906AF7" w:rsidR="00D55F4F" w:rsidRDefault="00D55F4F" w:rsidP="110985B9">
            <w:pPr>
              <w:spacing w:after="0" w:line="240" w:lineRule="auto"/>
              <w:jc w:val="right"/>
              <w:rPr>
                <w:rFonts w:cs="Arial"/>
                <w:color w:val="000000"/>
              </w:rPr>
            </w:pPr>
            <w:r w:rsidRPr="0082290B">
              <w:rPr>
                <w:rFonts w:cs="Arial"/>
                <w:color w:val="000000" w:themeColor="text1"/>
              </w:rPr>
              <w:t xml:space="preserve">      1,006 </w:t>
            </w:r>
          </w:p>
        </w:tc>
        <w:tc>
          <w:tcPr>
            <w:tcW w:w="1477" w:type="dxa"/>
            <w:tcBorders>
              <w:top w:val="nil"/>
              <w:left w:val="nil"/>
              <w:bottom w:val="single" w:sz="4" w:space="0" w:color="auto"/>
              <w:right w:val="single" w:sz="4" w:space="0" w:color="auto"/>
            </w:tcBorders>
            <w:shd w:val="clear" w:color="auto" w:fill="auto"/>
            <w:noWrap/>
            <w:vAlign w:val="center"/>
          </w:tcPr>
          <w:p w14:paraId="5829BE0C" w14:textId="662853AE" w:rsidR="00D55F4F" w:rsidRDefault="00D55F4F" w:rsidP="110985B9">
            <w:pPr>
              <w:spacing w:after="0" w:line="240" w:lineRule="auto"/>
              <w:jc w:val="right"/>
              <w:rPr>
                <w:rFonts w:cs="Arial"/>
                <w:color w:val="000000"/>
              </w:rPr>
            </w:pPr>
            <w:r w:rsidRPr="0082290B">
              <w:rPr>
                <w:rFonts w:cs="Arial"/>
                <w:color w:val="000000" w:themeColor="text1"/>
              </w:rPr>
              <w:t>2.8%</w:t>
            </w:r>
          </w:p>
        </w:tc>
      </w:tr>
      <w:tr w:rsidR="00D55F4F" w:rsidRPr="00537E40" w14:paraId="3202D88E"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0B6A5830" w14:textId="77777777" w:rsidR="00D55F4F" w:rsidRDefault="00D55F4F" w:rsidP="00D55F4F">
            <w:pPr>
              <w:spacing w:after="0"/>
              <w:rPr>
                <w:rFonts w:cs="Arial"/>
                <w:b/>
                <w:bCs/>
                <w:color w:val="000000"/>
                <w:szCs w:val="20"/>
              </w:rPr>
            </w:pPr>
            <w:r>
              <w:rPr>
                <w:rFonts w:cs="Arial"/>
                <w:b/>
                <w:bCs/>
                <w:color w:val="000000"/>
                <w:szCs w:val="20"/>
              </w:rPr>
              <w:t>Parkville</w:t>
            </w:r>
          </w:p>
        </w:tc>
        <w:tc>
          <w:tcPr>
            <w:tcW w:w="1304" w:type="dxa"/>
            <w:tcBorders>
              <w:top w:val="nil"/>
              <w:left w:val="nil"/>
              <w:bottom w:val="single" w:sz="4" w:space="0" w:color="auto"/>
              <w:right w:val="single" w:sz="4" w:space="0" w:color="auto"/>
            </w:tcBorders>
            <w:shd w:val="clear" w:color="auto" w:fill="auto"/>
            <w:noWrap/>
            <w:vAlign w:val="center"/>
          </w:tcPr>
          <w:p w14:paraId="2FDF3826" w14:textId="4BA5DB24" w:rsidR="00D55F4F" w:rsidRDefault="00D55F4F" w:rsidP="110985B9">
            <w:pPr>
              <w:spacing w:after="0" w:line="240" w:lineRule="auto"/>
              <w:jc w:val="right"/>
              <w:rPr>
                <w:rFonts w:cs="Arial"/>
                <w:color w:val="000000"/>
              </w:rPr>
            </w:pPr>
            <w:r w:rsidRPr="110985B9">
              <w:rPr>
                <w:rFonts w:cs="Arial"/>
                <w:color w:val="000000" w:themeColor="text1"/>
              </w:rPr>
              <w:t xml:space="preserve">      2,111 </w:t>
            </w:r>
          </w:p>
        </w:tc>
        <w:tc>
          <w:tcPr>
            <w:tcW w:w="1304" w:type="dxa"/>
            <w:tcBorders>
              <w:top w:val="nil"/>
              <w:left w:val="nil"/>
              <w:bottom w:val="single" w:sz="4" w:space="0" w:color="auto"/>
              <w:right w:val="single" w:sz="4" w:space="0" w:color="auto"/>
            </w:tcBorders>
            <w:shd w:val="clear" w:color="auto" w:fill="auto"/>
            <w:noWrap/>
            <w:vAlign w:val="center"/>
          </w:tcPr>
          <w:p w14:paraId="5AF5B251" w14:textId="1E565486" w:rsidR="00D55F4F" w:rsidRDefault="00D55F4F" w:rsidP="110985B9">
            <w:pPr>
              <w:spacing w:after="0" w:line="240" w:lineRule="auto"/>
              <w:jc w:val="right"/>
              <w:rPr>
                <w:rFonts w:cs="Arial"/>
                <w:color w:val="000000"/>
              </w:rPr>
            </w:pPr>
            <w:r w:rsidRPr="0082290B">
              <w:rPr>
                <w:rFonts w:cs="Arial"/>
                <w:color w:val="000000" w:themeColor="text1"/>
              </w:rPr>
              <w:t xml:space="preserve">      2,270 </w:t>
            </w:r>
          </w:p>
        </w:tc>
        <w:tc>
          <w:tcPr>
            <w:tcW w:w="1130" w:type="dxa"/>
            <w:tcBorders>
              <w:top w:val="nil"/>
              <w:left w:val="nil"/>
              <w:bottom w:val="single" w:sz="4" w:space="0" w:color="auto"/>
              <w:right w:val="single" w:sz="4" w:space="0" w:color="auto"/>
            </w:tcBorders>
            <w:shd w:val="clear" w:color="auto" w:fill="auto"/>
            <w:noWrap/>
            <w:vAlign w:val="center"/>
          </w:tcPr>
          <w:p w14:paraId="3E83888A" w14:textId="64569757" w:rsidR="00D55F4F" w:rsidRDefault="00D55F4F" w:rsidP="110985B9">
            <w:pPr>
              <w:spacing w:after="0" w:line="240" w:lineRule="auto"/>
              <w:jc w:val="right"/>
              <w:rPr>
                <w:rFonts w:cs="Arial"/>
                <w:color w:val="000000"/>
              </w:rPr>
            </w:pPr>
            <w:r w:rsidRPr="0082290B">
              <w:rPr>
                <w:rFonts w:cs="Arial"/>
                <w:color w:val="000000" w:themeColor="text1"/>
              </w:rPr>
              <w:t xml:space="preserve">      2,430 </w:t>
            </w:r>
          </w:p>
        </w:tc>
        <w:tc>
          <w:tcPr>
            <w:tcW w:w="1418" w:type="dxa"/>
            <w:tcBorders>
              <w:top w:val="nil"/>
              <w:left w:val="nil"/>
              <w:bottom w:val="single" w:sz="4" w:space="0" w:color="auto"/>
              <w:right w:val="single" w:sz="4" w:space="0" w:color="auto"/>
            </w:tcBorders>
            <w:shd w:val="clear" w:color="auto" w:fill="auto"/>
            <w:noWrap/>
            <w:vAlign w:val="center"/>
          </w:tcPr>
          <w:p w14:paraId="0C3DECCF" w14:textId="46E3EA84" w:rsidR="00D55F4F" w:rsidRDefault="00D55F4F" w:rsidP="110985B9">
            <w:pPr>
              <w:spacing w:after="0" w:line="240" w:lineRule="auto"/>
              <w:jc w:val="right"/>
              <w:rPr>
                <w:rFonts w:cs="Arial"/>
                <w:color w:val="000000"/>
              </w:rPr>
            </w:pPr>
            <w:r w:rsidRPr="0082290B">
              <w:rPr>
                <w:rFonts w:cs="Arial"/>
                <w:color w:val="000000" w:themeColor="text1"/>
              </w:rPr>
              <w:t xml:space="preserve">         319 </w:t>
            </w:r>
          </w:p>
        </w:tc>
        <w:tc>
          <w:tcPr>
            <w:tcW w:w="1477" w:type="dxa"/>
            <w:tcBorders>
              <w:top w:val="nil"/>
              <w:left w:val="nil"/>
              <w:bottom w:val="single" w:sz="4" w:space="0" w:color="auto"/>
              <w:right w:val="single" w:sz="4" w:space="0" w:color="auto"/>
            </w:tcBorders>
            <w:shd w:val="clear" w:color="auto" w:fill="auto"/>
            <w:noWrap/>
            <w:vAlign w:val="center"/>
          </w:tcPr>
          <w:p w14:paraId="18223517" w14:textId="600D410C" w:rsidR="00D55F4F" w:rsidRDefault="00D55F4F" w:rsidP="110985B9">
            <w:pPr>
              <w:spacing w:after="0" w:line="240" w:lineRule="auto"/>
              <w:jc w:val="right"/>
              <w:rPr>
                <w:rFonts w:cs="Arial"/>
                <w:color w:val="000000"/>
              </w:rPr>
            </w:pPr>
            <w:r w:rsidRPr="0082290B">
              <w:rPr>
                <w:rFonts w:cs="Arial"/>
                <w:color w:val="000000" w:themeColor="text1"/>
              </w:rPr>
              <w:t>0.7%</w:t>
            </w:r>
          </w:p>
        </w:tc>
      </w:tr>
      <w:tr w:rsidR="00D55F4F" w:rsidRPr="00537E40" w14:paraId="4BC46BBE"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3378CCE9" w14:textId="77777777" w:rsidR="00D55F4F" w:rsidRDefault="00D55F4F" w:rsidP="00D55F4F">
            <w:pPr>
              <w:spacing w:after="0"/>
              <w:rPr>
                <w:rFonts w:cs="Arial"/>
                <w:b/>
                <w:bCs/>
                <w:color w:val="000000"/>
                <w:szCs w:val="20"/>
              </w:rPr>
            </w:pPr>
            <w:r>
              <w:rPr>
                <w:rFonts w:cs="Arial"/>
                <w:b/>
                <w:bCs/>
                <w:color w:val="000000"/>
                <w:szCs w:val="20"/>
              </w:rPr>
              <w:t>Port Melbourne</w:t>
            </w:r>
          </w:p>
        </w:tc>
        <w:tc>
          <w:tcPr>
            <w:tcW w:w="1304" w:type="dxa"/>
            <w:tcBorders>
              <w:top w:val="nil"/>
              <w:left w:val="nil"/>
              <w:bottom w:val="single" w:sz="4" w:space="0" w:color="auto"/>
              <w:right w:val="single" w:sz="4" w:space="0" w:color="auto"/>
            </w:tcBorders>
            <w:shd w:val="clear" w:color="auto" w:fill="auto"/>
            <w:noWrap/>
            <w:vAlign w:val="center"/>
          </w:tcPr>
          <w:p w14:paraId="6B5BC22C" w14:textId="573C5BCB" w:rsidR="00D55F4F" w:rsidRDefault="00D55F4F" w:rsidP="110985B9">
            <w:pPr>
              <w:spacing w:after="0" w:line="240" w:lineRule="auto"/>
              <w:jc w:val="right"/>
              <w:rPr>
                <w:rFonts w:cs="Arial"/>
                <w:color w:val="000000"/>
              </w:rPr>
            </w:pPr>
            <w:r w:rsidRPr="110985B9">
              <w:rPr>
                <w:rFonts w:cs="Arial"/>
                <w:color w:val="000000" w:themeColor="text1"/>
              </w:rPr>
              <w:t xml:space="preserve">      2,064 </w:t>
            </w:r>
          </w:p>
        </w:tc>
        <w:tc>
          <w:tcPr>
            <w:tcW w:w="1304" w:type="dxa"/>
            <w:tcBorders>
              <w:top w:val="nil"/>
              <w:left w:val="nil"/>
              <w:bottom w:val="single" w:sz="4" w:space="0" w:color="auto"/>
              <w:right w:val="single" w:sz="4" w:space="0" w:color="auto"/>
            </w:tcBorders>
            <w:shd w:val="clear" w:color="auto" w:fill="auto"/>
            <w:noWrap/>
            <w:vAlign w:val="center"/>
          </w:tcPr>
          <w:p w14:paraId="15C52680" w14:textId="5EA9C977" w:rsidR="00D55F4F" w:rsidRDefault="00D55F4F" w:rsidP="110985B9">
            <w:pPr>
              <w:spacing w:after="0" w:line="240" w:lineRule="auto"/>
              <w:jc w:val="right"/>
              <w:rPr>
                <w:rFonts w:cs="Arial"/>
                <w:color w:val="000000"/>
              </w:rPr>
            </w:pPr>
            <w:r w:rsidRPr="0082290B">
              <w:rPr>
                <w:rFonts w:cs="Arial"/>
                <w:color w:val="000000" w:themeColor="text1"/>
              </w:rPr>
              <w:t xml:space="preserve">      2,128 </w:t>
            </w:r>
          </w:p>
        </w:tc>
        <w:tc>
          <w:tcPr>
            <w:tcW w:w="1130" w:type="dxa"/>
            <w:tcBorders>
              <w:top w:val="nil"/>
              <w:left w:val="nil"/>
              <w:bottom w:val="single" w:sz="4" w:space="0" w:color="auto"/>
              <w:right w:val="single" w:sz="4" w:space="0" w:color="auto"/>
            </w:tcBorders>
            <w:shd w:val="clear" w:color="auto" w:fill="auto"/>
            <w:noWrap/>
            <w:vAlign w:val="center"/>
          </w:tcPr>
          <w:p w14:paraId="3AFB98E9" w14:textId="5DB86BF9" w:rsidR="00D55F4F" w:rsidRDefault="00D55F4F" w:rsidP="110985B9">
            <w:pPr>
              <w:spacing w:after="0" w:line="240" w:lineRule="auto"/>
              <w:jc w:val="right"/>
              <w:rPr>
                <w:rFonts w:cs="Arial"/>
                <w:color w:val="000000"/>
              </w:rPr>
            </w:pPr>
            <w:r w:rsidRPr="0082290B">
              <w:rPr>
                <w:rFonts w:cs="Arial"/>
                <w:color w:val="000000" w:themeColor="text1"/>
              </w:rPr>
              <w:t xml:space="preserve">      2,328 </w:t>
            </w:r>
          </w:p>
        </w:tc>
        <w:tc>
          <w:tcPr>
            <w:tcW w:w="1418" w:type="dxa"/>
            <w:tcBorders>
              <w:top w:val="nil"/>
              <w:left w:val="nil"/>
              <w:bottom w:val="single" w:sz="4" w:space="0" w:color="auto"/>
              <w:right w:val="single" w:sz="4" w:space="0" w:color="auto"/>
            </w:tcBorders>
            <w:shd w:val="clear" w:color="auto" w:fill="auto"/>
            <w:noWrap/>
            <w:vAlign w:val="center"/>
          </w:tcPr>
          <w:p w14:paraId="3F4D1508" w14:textId="4126C316" w:rsidR="00D55F4F" w:rsidRDefault="00D55F4F" w:rsidP="110985B9">
            <w:pPr>
              <w:spacing w:after="0" w:line="240" w:lineRule="auto"/>
              <w:jc w:val="right"/>
              <w:rPr>
                <w:rFonts w:cs="Arial"/>
                <w:color w:val="000000"/>
              </w:rPr>
            </w:pPr>
            <w:r w:rsidRPr="0082290B">
              <w:rPr>
                <w:rFonts w:cs="Arial"/>
                <w:color w:val="000000" w:themeColor="text1"/>
              </w:rPr>
              <w:t xml:space="preserve">         264 </w:t>
            </w:r>
          </w:p>
        </w:tc>
        <w:tc>
          <w:tcPr>
            <w:tcW w:w="1477" w:type="dxa"/>
            <w:tcBorders>
              <w:top w:val="nil"/>
              <w:left w:val="nil"/>
              <w:bottom w:val="single" w:sz="4" w:space="0" w:color="auto"/>
              <w:right w:val="single" w:sz="4" w:space="0" w:color="auto"/>
            </w:tcBorders>
            <w:shd w:val="clear" w:color="auto" w:fill="auto"/>
            <w:noWrap/>
            <w:vAlign w:val="center"/>
          </w:tcPr>
          <w:p w14:paraId="1D050DC1" w14:textId="697D93E6" w:rsidR="00D55F4F" w:rsidRDefault="00D55F4F" w:rsidP="110985B9">
            <w:pPr>
              <w:spacing w:after="0" w:line="240" w:lineRule="auto"/>
              <w:jc w:val="right"/>
              <w:rPr>
                <w:rFonts w:cs="Arial"/>
                <w:color w:val="000000"/>
              </w:rPr>
            </w:pPr>
            <w:r w:rsidRPr="0082290B">
              <w:rPr>
                <w:rFonts w:cs="Arial"/>
                <w:color w:val="000000" w:themeColor="text1"/>
              </w:rPr>
              <w:t>0.6%</w:t>
            </w:r>
          </w:p>
        </w:tc>
      </w:tr>
      <w:tr w:rsidR="00D55F4F" w:rsidRPr="00537E40" w14:paraId="73C75E14"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6F5D014A" w14:textId="77777777" w:rsidR="00D55F4F" w:rsidRDefault="00D55F4F" w:rsidP="00D55F4F">
            <w:pPr>
              <w:spacing w:after="0"/>
              <w:rPr>
                <w:rFonts w:cs="Arial"/>
                <w:b/>
                <w:bCs/>
                <w:color w:val="000000"/>
                <w:szCs w:val="20"/>
              </w:rPr>
            </w:pPr>
            <w:r>
              <w:rPr>
                <w:rFonts w:cs="Arial"/>
                <w:b/>
                <w:bCs/>
                <w:color w:val="000000"/>
                <w:szCs w:val="20"/>
              </w:rPr>
              <w:t>South Yarra</w:t>
            </w:r>
          </w:p>
        </w:tc>
        <w:tc>
          <w:tcPr>
            <w:tcW w:w="1304" w:type="dxa"/>
            <w:tcBorders>
              <w:top w:val="nil"/>
              <w:left w:val="nil"/>
              <w:bottom w:val="single" w:sz="4" w:space="0" w:color="auto"/>
              <w:right w:val="single" w:sz="4" w:space="0" w:color="auto"/>
            </w:tcBorders>
            <w:shd w:val="clear" w:color="auto" w:fill="auto"/>
            <w:noWrap/>
            <w:vAlign w:val="center"/>
          </w:tcPr>
          <w:p w14:paraId="5E12C23E" w14:textId="6D1524D3" w:rsidR="00D55F4F" w:rsidRDefault="00D55F4F" w:rsidP="110985B9">
            <w:pPr>
              <w:spacing w:after="0" w:line="240" w:lineRule="auto"/>
              <w:jc w:val="right"/>
              <w:rPr>
                <w:rFonts w:cs="Arial"/>
                <w:color w:val="000000"/>
              </w:rPr>
            </w:pPr>
            <w:r w:rsidRPr="110985B9">
              <w:rPr>
                <w:rFonts w:cs="Arial"/>
                <w:color w:val="000000" w:themeColor="text1"/>
              </w:rPr>
              <w:t xml:space="preserve">         446 </w:t>
            </w:r>
          </w:p>
        </w:tc>
        <w:tc>
          <w:tcPr>
            <w:tcW w:w="1304" w:type="dxa"/>
            <w:tcBorders>
              <w:top w:val="nil"/>
              <w:left w:val="nil"/>
              <w:bottom w:val="single" w:sz="4" w:space="0" w:color="auto"/>
              <w:right w:val="single" w:sz="4" w:space="0" w:color="auto"/>
            </w:tcBorders>
            <w:shd w:val="clear" w:color="auto" w:fill="auto"/>
            <w:noWrap/>
            <w:vAlign w:val="center"/>
          </w:tcPr>
          <w:p w14:paraId="33B6014C" w14:textId="1817299B" w:rsidR="00D55F4F" w:rsidRDefault="00D55F4F" w:rsidP="110985B9">
            <w:pPr>
              <w:spacing w:after="0" w:line="240" w:lineRule="auto"/>
              <w:jc w:val="right"/>
              <w:rPr>
                <w:rFonts w:cs="Arial"/>
                <w:color w:val="000000"/>
              </w:rPr>
            </w:pPr>
            <w:r w:rsidRPr="0082290B">
              <w:rPr>
                <w:rFonts w:cs="Arial"/>
                <w:color w:val="000000" w:themeColor="text1"/>
              </w:rPr>
              <w:t xml:space="preserve">         475 </w:t>
            </w:r>
          </w:p>
        </w:tc>
        <w:tc>
          <w:tcPr>
            <w:tcW w:w="1130" w:type="dxa"/>
            <w:tcBorders>
              <w:top w:val="nil"/>
              <w:left w:val="nil"/>
              <w:bottom w:val="single" w:sz="4" w:space="0" w:color="auto"/>
              <w:right w:val="single" w:sz="4" w:space="0" w:color="auto"/>
            </w:tcBorders>
            <w:shd w:val="clear" w:color="auto" w:fill="auto"/>
            <w:noWrap/>
            <w:vAlign w:val="center"/>
          </w:tcPr>
          <w:p w14:paraId="23EC7206" w14:textId="598E67A9" w:rsidR="00D55F4F" w:rsidRDefault="00D55F4F" w:rsidP="110985B9">
            <w:pPr>
              <w:spacing w:after="0" w:line="240" w:lineRule="auto"/>
              <w:jc w:val="right"/>
              <w:rPr>
                <w:rFonts w:cs="Arial"/>
                <w:color w:val="000000"/>
              </w:rPr>
            </w:pPr>
            <w:r w:rsidRPr="0082290B">
              <w:rPr>
                <w:rFonts w:cs="Arial"/>
                <w:color w:val="000000" w:themeColor="text1"/>
              </w:rPr>
              <w:t xml:space="preserve">         475 </w:t>
            </w:r>
          </w:p>
        </w:tc>
        <w:tc>
          <w:tcPr>
            <w:tcW w:w="1418" w:type="dxa"/>
            <w:tcBorders>
              <w:top w:val="nil"/>
              <w:left w:val="nil"/>
              <w:bottom w:val="single" w:sz="4" w:space="0" w:color="auto"/>
              <w:right w:val="single" w:sz="4" w:space="0" w:color="auto"/>
            </w:tcBorders>
            <w:shd w:val="clear" w:color="auto" w:fill="auto"/>
            <w:noWrap/>
            <w:vAlign w:val="center"/>
          </w:tcPr>
          <w:p w14:paraId="58EF9DCB" w14:textId="29A06121" w:rsidR="00D55F4F" w:rsidRDefault="00D55F4F" w:rsidP="110985B9">
            <w:pPr>
              <w:spacing w:after="0" w:line="240" w:lineRule="auto"/>
              <w:jc w:val="right"/>
              <w:rPr>
                <w:rFonts w:cs="Arial"/>
                <w:color w:val="000000"/>
              </w:rPr>
            </w:pPr>
            <w:r w:rsidRPr="0082290B">
              <w:rPr>
                <w:rFonts w:cs="Arial"/>
                <w:color w:val="000000" w:themeColor="text1"/>
              </w:rPr>
              <w:t xml:space="preserve">           29 </w:t>
            </w:r>
          </w:p>
        </w:tc>
        <w:tc>
          <w:tcPr>
            <w:tcW w:w="1477" w:type="dxa"/>
            <w:tcBorders>
              <w:top w:val="nil"/>
              <w:left w:val="nil"/>
              <w:bottom w:val="single" w:sz="4" w:space="0" w:color="auto"/>
              <w:right w:val="single" w:sz="4" w:space="0" w:color="auto"/>
            </w:tcBorders>
            <w:shd w:val="clear" w:color="auto" w:fill="auto"/>
            <w:noWrap/>
            <w:vAlign w:val="center"/>
          </w:tcPr>
          <w:p w14:paraId="2FA89B96" w14:textId="3848DC66" w:rsidR="00D55F4F" w:rsidRDefault="00D55F4F" w:rsidP="110985B9">
            <w:pPr>
              <w:spacing w:after="0" w:line="240" w:lineRule="auto"/>
              <w:jc w:val="right"/>
              <w:rPr>
                <w:rFonts w:cs="Arial"/>
                <w:color w:val="000000"/>
              </w:rPr>
            </w:pPr>
            <w:r w:rsidRPr="0082290B">
              <w:rPr>
                <w:rFonts w:cs="Arial"/>
                <w:color w:val="000000" w:themeColor="text1"/>
              </w:rPr>
              <w:t>0.3%</w:t>
            </w:r>
          </w:p>
        </w:tc>
      </w:tr>
      <w:tr w:rsidR="00D55F4F" w:rsidRPr="00537E40" w14:paraId="08D2723C"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053A6A93" w14:textId="77777777" w:rsidR="00D55F4F" w:rsidRDefault="00D55F4F" w:rsidP="00D55F4F">
            <w:pPr>
              <w:spacing w:after="0"/>
              <w:rPr>
                <w:rFonts w:cs="Arial"/>
                <w:b/>
                <w:bCs/>
                <w:color w:val="000000"/>
                <w:szCs w:val="20"/>
              </w:rPr>
            </w:pPr>
            <w:r>
              <w:rPr>
                <w:rFonts w:cs="Arial"/>
                <w:b/>
                <w:bCs/>
                <w:color w:val="000000"/>
                <w:szCs w:val="20"/>
              </w:rPr>
              <w:t>Southbank</w:t>
            </w:r>
          </w:p>
        </w:tc>
        <w:tc>
          <w:tcPr>
            <w:tcW w:w="1304" w:type="dxa"/>
            <w:tcBorders>
              <w:top w:val="nil"/>
              <w:left w:val="nil"/>
              <w:bottom w:val="single" w:sz="4" w:space="0" w:color="auto"/>
              <w:right w:val="single" w:sz="4" w:space="0" w:color="auto"/>
            </w:tcBorders>
            <w:shd w:val="clear" w:color="auto" w:fill="auto"/>
            <w:noWrap/>
            <w:vAlign w:val="center"/>
          </w:tcPr>
          <w:p w14:paraId="14558A49" w14:textId="485A197D" w:rsidR="00D55F4F" w:rsidRDefault="00D55F4F" w:rsidP="110985B9">
            <w:pPr>
              <w:spacing w:after="0" w:line="240" w:lineRule="auto"/>
              <w:jc w:val="right"/>
              <w:rPr>
                <w:rFonts w:cs="Arial"/>
                <w:color w:val="000000"/>
              </w:rPr>
            </w:pPr>
            <w:r w:rsidRPr="110985B9">
              <w:rPr>
                <w:rFonts w:cs="Arial"/>
                <w:color w:val="000000" w:themeColor="text1"/>
              </w:rPr>
              <w:t xml:space="preserve">      2,605 </w:t>
            </w:r>
          </w:p>
        </w:tc>
        <w:tc>
          <w:tcPr>
            <w:tcW w:w="1304" w:type="dxa"/>
            <w:tcBorders>
              <w:top w:val="nil"/>
              <w:left w:val="nil"/>
              <w:bottom w:val="single" w:sz="4" w:space="0" w:color="auto"/>
              <w:right w:val="single" w:sz="4" w:space="0" w:color="auto"/>
            </w:tcBorders>
            <w:shd w:val="clear" w:color="auto" w:fill="auto"/>
            <w:noWrap/>
            <w:vAlign w:val="center"/>
          </w:tcPr>
          <w:p w14:paraId="48A34B9F" w14:textId="128DEB15" w:rsidR="00D55F4F" w:rsidRDefault="00D55F4F" w:rsidP="110985B9">
            <w:pPr>
              <w:spacing w:after="0" w:line="240" w:lineRule="auto"/>
              <w:jc w:val="right"/>
              <w:rPr>
                <w:rFonts w:cs="Arial"/>
                <w:color w:val="000000"/>
              </w:rPr>
            </w:pPr>
            <w:r w:rsidRPr="0082290B">
              <w:rPr>
                <w:rFonts w:cs="Arial"/>
                <w:color w:val="000000" w:themeColor="text1"/>
              </w:rPr>
              <w:t xml:space="preserve">      3,038 </w:t>
            </w:r>
          </w:p>
        </w:tc>
        <w:tc>
          <w:tcPr>
            <w:tcW w:w="1130" w:type="dxa"/>
            <w:tcBorders>
              <w:top w:val="nil"/>
              <w:left w:val="nil"/>
              <w:bottom w:val="single" w:sz="4" w:space="0" w:color="auto"/>
              <w:right w:val="single" w:sz="4" w:space="0" w:color="auto"/>
            </w:tcBorders>
            <w:shd w:val="clear" w:color="auto" w:fill="auto"/>
            <w:noWrap/>
            <w:vAlign w:val="center"/>
          </w:tcPr>
          <w:p w14:paraId="7BD15E7C" w14:textId="62240294" w:rsidR="00D55F4F" w:rsidRDefault="00D55F4F" w:rsidP="110985B9">
            <w:pPr>
              <w:spacing w:after="0" w:line="240" w:lineRule="auto"/>
              <w:jc w:val="right"/>
              <w:rPr>
                <w:rFonts w:cs="Arial"/>
                <w:color w:val="000000"/>
              </w:rPr>
            </w:pPr>
            <w:r w:rsidRPr="0082290B">
              <w:rPr>
                <w:rFonts w:cs="Arial"/>
                <w:color w:val="000000" w:themeColor="text1"/>
              </w:rPr>
              <w:t xml:space="preserve">      3,444 </w:t>
            </w:r>
          </w:p>
        </w:tc>
        <w:tc>
          <w:tcPr>
            <w:tcW w:w="1418" w:type="dxa"/>
            <w:tcBorders>
              <w:top w:val="nil"/>
              <w:left w:val="nil"/>
              <w:bottom w:val="single" w:sz="4" w:space="0" w:color="auto"/>
              <w:right w:val="single" w:sz="4" w:space="0" w:color="auto"/>
            </w:tcBorders>
            <w:shd w:val="clear" w:color="auto" w:fill="auto"/>
            <w:noWrap/>
            <w:vAlign w:val="center"/>
          </w:tcPr>
          <w:p w14:paraId="7074DBC5" w14:textId="653F81C1" w:rsidR="00D55F4F" w:rsidRDefault="00D55F4F" w:rsidP="110985B9">
            <w:pPr>
              <w:spacing w:after="0" w:line="240" w:lineRule="auto"/>
              <w:jc w:val="right"/>
              <w:rPr>
                <w:rFonts w:cs="Arial"/>
                <w:color w:val="000000"/>
              </w:rPr>
            </w:pPr>
            <w:r w:rsidRPr="0082290B">
              <w:rPr>
                <w:rFonts w:cs="Arial"/>
                <w:color w:val="000000" w:themeColor="text1"/>
              </w:rPr>
              <w:t xml:space="preserve">         839 </w:t>
            </w:r>
          </w:p>
        </w:tc>
        <w:tc>
          <w:tcPr>
            <w:tcW w:w="1477" w:type="dxa"/>
            <w:tcBorders>
              <w:top w:val="nil"/>
              <w:left w:val="nil"/>
              <w:bottom w:val="single" w:sz="4" w:space="0" w:color="auto"/>
              <w:right w:val="single" w:sz="4" w:space="0" w:color="auto"/>
            </w:tcBorders>
            <w:shd w:val="clear" w:color="auto" w:fill="auto"/>
            <w:noWrap/>
            <w:vAlign w:val="center"/>
          </w:tcPr>
          <w:p w14:paraId="2C9DC952" w14:textId="018402D8" w:rsidR="00D55F4F" w:rsidRDefault="00D55F4F" w:rsidP="110985B9">
            <w:pPr>
              <w:spacing w:after="0" w:line="240" w:lineRule="auto"/>
              <w:jc w:val="right"/>
              <w:rPr>
                <w:rFonts w:cs="Arial"/>
                <w:color w:val="000000"/>
              </w:rPr>
            </w:pPr>
            <w:r w:rsidRPr="0082290B">
              <w:rPr>
                <w:rFonts w:cs="Arial"/>
                <w:color w:val="000000" w:themeColor="text1"/>
              </w:rPr>
              <w:t>1.4%</w:t>
            </w:r>
          </w:p>
        </w:tc>
      </w:tr>
      <w:tr w:rsidR="00D55F4F" w:rsidRPr="00537E40" w14:paraId="3F5EC8A6"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3BFA5D7C" w14:textId="77777777" w:rsidR="00D55F4F" w:rsidRDefault="00D55F4F" w:rsidP="00D55F4F">
            <w:pPr>
              <w:spacing w:after="0"/>
              <w:rPr>
                <w:rFonts w:cs="Arial"/>
                <w:b/>
                <w:bCs/>
                <w:color w:val="000000"/>
                <w:szCs w:val="20"/>
              </w:rPr>
            </w:pPr>
            <w:r>
              <w:rPr>
                <w:rFonts w:cs="Arial"/>
                <w:b/>
                <w:bCs/>
                <w:color w:val="000000"/>
                <w:szCs w:val="20"/>
              </w:rPr>
              <w:t>West Melbourne (Industrial)</w:t>
            </w:r>
          </w:p>
        </w:tc>
        <w:tc>
          <w:tcPr>
            <w:tcW w:w="1304" w:type="dxa"/>
            <w:tcBorders>
              <w:top w:val="nil"/>
              <w:left w:val="nil"/>
              <w:bottom w:val="single" w:sz="4" w:space="0" w:color="auto"/>
              <w:right w:val="single" w:sz="4" w:space="0" w:color="auto"/>
            </w:tcBorders>
            <w:shd w:val="clear" w:color="auto" w:fill="auto"/>
            <w:noWrap/>
            <w:vAlign w:val="center"/>
          </w:tcPr>
          <w:p w14:paraId="1ADC9F9E" w14:textId="1876EDC5" w:rsidR="00D55F4F" w:rsidRDefault="00D55F4F" w:rsidP="110985B9">
            <w:pPr>
              <w:spacing w:after="0" w:line="240" w:lineRule="auto"/>
              <w:jc w:val="right"/>
              <w:rPr>
                <w:rFonts w:cs="Arial"/>
                <w:color w:val="000000"/>
              </w:rPr>
            </w:pPr>
            <w:r w:rsidRPr="110985B9">
              <w:rPr>
                <w:rFonts w:cs="Arial"/>
                <w:color w:val="000000" w:themeColor="text1"/>
              </w:rPr>
              <w:t xml:space="preserve">      2,551 </w:t>
            </w:r>
          </w:p>
        </w:tc>
        <w:tc>
          <w:tcPr>
            <w:tcW w:w="1304" w:type="dxa"/>
            <w:tcBorders>
              <w:top w:val="nil"/>
              <w:left w:val="nil"/>
              <w:bottom w:val="single" w:sz="4" w:space="0" w:color="auto"/>
              <w:right w:val="single" w:sz="4" w:space="0" w:color="auto"/>
            </w:tcBorders>
            <w:shd w:val="clear" w:color="auto" w:fill="auto"/>
            <w:noWrap/>
            <w:vAlign w:val="center"/>
          </w:tcPr>
          <w:p w14:paraId="5A13527B" w14:textId="545FA67C" w:rsidR="00D55F4F" w:rsidRDefault="00D55F4F" w:rsidP="110985B9">
            <w:pPr>
              <w:spacing w:after="0" w:line="240" w:lineRule="auto"/>
              <w:jc w:val="right"/>
              <w:rPr>
                <w:rFonts w:cs="Arial"/>
                <w:color w:val="000000"/>
              </w:rPr>
            </w:pPr>
            <w:r w:rsidRPr="0082290B">
              <w:rPr>
                <w:rFonts w:cs="Arial"/>
                <w:color w:val="000000" w:themeColor="text1"/>
              </w:rPr>
              <w:t xml:space="preserve">      2,460 </w:t>
            </w:r>
          </w:p>
        </w:tc>
        <w:tc>
          <w:tcPr>
            <w:tcW w:w="1130" w:type="dxa"/>
            <w:tcBorders>
              <w:top w:val="nil"/>
              <w:left w:val="nil"/>
              <w:bottom w:val="single" w:sz="4" w:space="0" w:color="auto"/>
              <w:right w:val="single" w:sz="4" w:space="0" w:color="auto"/>
            </w:tcBorders>
            <w:shd w:val="clear" w:color="auto" w:fill="auto"/>
            <w:noWrap/>
            <w:vAlign w:val="center"/>
          </w:tcPr>
          <w:p w14:paraId="53E4C91F" w14:textId="302F2267" w:rsidR="00D55F4F" w:rsidRDefault="00D55F4F" w:rsidP="110985B9">
            <w:pPr>
              <w:spacing w:after="0" w:line="240" w:lineRule="auto"/>
              <w:jc w:val="right"/>
              <w:rPr>
                <w:rFonts w:cs="Arial"/>
                <w:color w:val="000000"/>
              </w:rPr>
            </w:pPr>
            <w:r w:rsidRPr="0082290B">
              <w:rPr>
                <w:rFonts w:cs="Arial"/>
                <w:color w:val="000000" w:themeColor="text1"/>
              </w:rPr>
              <w:t xml:space="preserve">      2,334 </w:t>
            </w:r>
          </w:p>
        </w:tc>
        <w:tc>
          <w:tcPr>
            <w:tcW w:w="1418" w:type="dxa"/>
            <w:tcBorders>
              <w:top w:val="nil"/>
              <w:left w:val="nil"/>
              <w:bottom w:val="single" w:sz="4" w:space="0" w:color="auto"/>
              <w:right w:val="single" w:sz="4" w:space="0" w:color="auto"/>
            </w:tcBorders>
            <w:shd w:val="clear" w:color="auto" w:fill="auto"/>
            <w:noWrap/>
            <w:vAlign w:val="center"/>
          </w:tcPr>
          <w:p w14:paraId="1F7B4600" w14:textId="3E29B3F5" w:rsidR="00D55F4F" w:rsidRDefault="00D55F4F" w:rsidP="110985B9">
            <w:pPr>
              <w:spacing w:after="0" w:line="240" w:lineRule="auto"/>
              <w:jc w:val="right"/>
              <w:rPr>
                <w:rFonts w:cs="Arial"/>
                <w:color w:val="000000"/>
              </w:rPr>
            </w:pPr>
            <w:r w:rsidRPr="110985B9">
              <w:rPr>
                <w:rFonts w:cs="Arial"/>
                <w:color w:val="000000" w:themeColor="text1"/>
              </w:rPr>
              <w:t xml:space="preserve">-217 </w:t>
            </w:r>
          </w:p>
        </w:tc>
        <w:tc>
          <w:tcPr>
            <w:tcW w:w="1477" w:type="dxa"/>
            <w:tcBorders>
              <w:top w:val="nil"/>
              <w:left w:val="nil"/>
              <w:bottom w:val="single" w:sz="4" w:space="0" w:color="auto"/>
              <w:right w:val="single" w:sz="4" w:space="0" w:color="auto"/>
            </w:tcBorders>
            <w:shd w:val="clear" w:color="auto" w:fill="auto"/>
            <w:noWrap/>
            <w:vAlign w:val="center"/>
          </w:tcPr>
          <w:p w14:paraId="7087293D" w14:textId="58EA0BED" w:rsidR="00D55F4F" w:rsidRDefault="00D55F4F" w:rsidP="110985B9">
            <w:pPr>
              <w:spacing w:after="0" w:line="240" w:lineRule="auto"/>
              <w:jc w:val="right"/>
              <w:rPr>
                <w:rFonts w:cs="Arial"/>
                <w:color w:val="000000"/>
              </w:rPr>
            </w:pPr>
            <w:r w:rsidRPr="0082290B">
              <w:rPr>
                <w:rFonts w:cs="Arial"/>
                <w:color w:val="000000" w:themeColor="text1"/>
              </w:rPr>
              <w:t>-0.4%</w:t>
            </w:r>
          </w:p>
        </w:tc>
      </w:tr>
      <w:tr w:rsidR="00D55F4F" w:rsidRPr="00537E40" w14:paraId="6FD2DD1B"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76C644B6" w14:textId="77777777" w:rsidR="00D55F4F" w:rsidRDefault="00D55F4F" w:rsidP="00D55F4F">
            <w:pPr>
              <w:spacing w:after="0"/>
              <w:rPr>
                <w:rFonts w:cs="Arial"/>
                <w:b/>
                <w:bCs/>
                <w:color w:val="000000"/>
                <w:szCs w:val="20"/>
              </w:rPr>
            </w:pPr>
            <w:r>
              <w:rPr>
                <w:rFonts w:cs="Arial"/>
                <w:b/>
                <w:bCs/>
                <w:color w:val="000000"/>
                <w:szCs w:val="20"/>
              </w:rPr>
              <w:t>West Melbourne (Residential)</w:t>
            </w:r>
          </w:p>
        </w:tc>
        <w:tc>
          <w:tcPr>
            <w:tcW w:w="1304" w:type="dxa"/>
            <w:tcBorders>
              <w:top w:val="nil"/>
              <w:left w:val="nil"/>
              <w:bottom w:val="single" w:sz="4" w:space="0" w:color="auto"/>
              <w:right w:val="single" w:sz="4" w:space="0" w:color="auto"/>
            </w:tcBorders>
            <w:shd w:val="clear" w:color="auto" w:fill="auto"/>
            <w:noWrap/>
            <w:vAlign w:val="center"/>
          </w:tcPr>
          <w:p w14:paraId="6E926BB4" w14:textId="594363AD" w:rsidR="00D55F4F" w:rsidRDefault="00D55F4F" w:rsidP="110985B9">
            <w:pPr>
              <w:spacing w:after="0" w:line="240" w:lineRule="auto"/>
              <w:jc w:val="right"/>
              <w:rPr>
                <w:rFonts w:cs="Arial"/>
                <w:color w:val="000000"/>
              </w:rPr>
            </w:pPr>
            <w:r w:rsidRPr="110985B9">
              <w:rPr>
                <w:rFonts w:cs="Arial"/>
                <w:color w:val="000000" w:themeColor="text1"/>
              </w:rPr>
              <w:t xml:space="preserve">         642 </w:t>
            </w:r>
          </w:p>
        </w:tc>
        <w:tc>
          <w:tcPr>
            <w:tcW w:w="1304" w:type="dxa"/>
            <w:tcBorders>
              <w:top w:val="nil"/>
              <w:left w:val="nil"/>
              <w:bottom w:val="single" w:sz="4" w:space="0" w:color="auto"/>
              <w:right w:val="single" w:sz="4" w:space="0" w:color="auto"/>
            </w:tcBorders>
            <w:shd w:val="clear" w:color="auto" w:fill="auto"/>
            <w:noWrap/>
            <w:vAlign w:val="center"/>
          </w:tcPr>
          <w:p w14:paraId="330CCAEE" w14:textId="796A7A9C" w:rsidR="00D55F4F" w:rsidRDefault="00D55F4F" w:rsidP="110985B9">
            <w:pPr>
              <w:spacing w:after="0" w:line="240" w:lineRule="auto"/>
              <w:jc w:val="right"/>
              <w:rPr>
                <w:rFonts w:cs="Arial"/>
                <w:color w:val="000000"/>
              </w:rPr>
            </w:pPr>
            <w:r w:rsidRPr="0082290B">
              <w:rPr>
                <w:rFonts w:cs="Arial"/>
                <w:color w:val="000000" w:themeColor="text1"/>
              </w:rPr>
              <w:t xml:space="preserve">         758 </w:t>
            </w:r>
          </w:p>
        </w:tc>
        <w:tc>
          <w:tcPr>
            <w:tcW w:w="1130" w:type="dxa"/>
            <w:tcBorders>
              <w:top w:val="nil"/>
              <w:left w:val="nil"/>
              <w:bottom w:val="single" w:sz="4" w:space="0" w:color="auto"/>
              <w:right w:val="single" w:sz="4" w:space="0" w:color="auto"/>
            </w:tcBorders>
            <w:shd w:val="clear" w:color="auto" w:fill="auto"/>
            <w:noWrap/>
            <w:vAlign w:val="center"/>
          </w:tcPr>
          <w:p w14:paraId="0FD609A0" w14:textId="56CD7DAA" w:rsidR="00D55F4F" w:rsidRDefault="00D55F4F" w:rsidP="110985B9">
            <w:pPr>
              <w:spacing w:after="0" w:line="240" w:lineRule="auto"/>
              <w:jc w:val="right"/>
              <w:rPr>
                <w:rFonts w:cs="Arial"/>
                <w:color w:val="000000"/>
              </w:rPr>
            </w:pPr>
            <w:r w:rsidRPr="0082290B">
              <w:rPr>
                <w:rFonts w:cs="Arial"/>
                <w:color w:val="000000" w:themeColor="text1"/>
              </w:rPr>
              <w:t xml:space="preserve">         840 </w:t>
            </w:r>
          </w:p>
        </w:tc>
        <w:tc>
          <w:tcPr>
            <w:tcW w:w="1418" w:type="dxa"/>
            <w:tcBorders>
              <w:top w:val="nil"/>
              <w:left w:val="nil"/>
              <w:bottom w:val="single" w:sz="4" w:space="0" w:color="auto"/>
              <w:right w:val="single" w:sz="4" w:space="0" w:color="auto"/>
            </w:tcBorders>
            <w:shd w:val="clear" w:color="auto" w:fill="auto"/>
            <w:noWrap/>
            <w:vAlign w:val="center"/>
          </w:tcPr>
          <w:p w14:paraId="2834F722" w14:textId="75221DD8" w:rsidR="00D55F4F" w:rsidRDefault="00D55F4F" w:rsidP="110985B9">
            <w:pPr>
              <w:spacing w:after="0" w:line="240" w:lineRule="auto"/>
              <w:jc w:val="right"/>
              <w:rPr>
                <w:rFonts w:cs="Arial"/>
                <w:color w:val="000000"/>
              </w:rPr>
            </w:pPr>
            <w:r w:rsidRPr="0082290B">
              <w:rPr>
                <w:rFonts w:cs="Arial"/>
                <w:color w:val="000000" w:themeColor="text1"/>
              </w:rPr>
              <w:t xml:space="preserve">         198 </w:t>
            </w:r>
          </w:p>
        </w:tc>
        <w:tc>
          <w:tcPr>
            <w:tcW w:w="1477" w:type="dxa"/>
            <w:tcBorders>
              <w:top w:val="nil"/>
              <w:left w:val="nil"/>
              <w:bottom w:val="single" w:sz="4" w:space="0" w:color="auto"/>
              <w:right w:val="single" w:sz="4" w:space="0" w:color="auto"/>
            </w:tcBorders>
            <w:shd w:val="clear" w:color="auto" w:fill="auto"/>
            <w:noWrap/>
            <w:vAlign w:val="center"/>
          </w:tcPr>
          <w:p w14:paraId="15D810EB" w14:textId="4DA494E4" w:rsidR="00D55F4F" w:rsidRDefault="00D55F4F" w:rsidP="110985B9">
            <w:pPr>
              <w:spacing w:after="0" w:line="240" w:lineRule="auto"/>
              <w:jc w:val="right"/>
              <w:rPr>
                <w:rFonts w:cs="Arial"/>
                <w:color w:val="000000"/>
              </w:rPr>
            </w:pPr>
            <w:r w:rsidRPr="0082290B">
              <w:rPr>
                <w:rFonts w:cs="Arial"/>
                <w:color w:val="000000" w:themeColor="text1"/>
              </w:rPr>
              <w:t>1.4%</w:t>
            </w:r>
          </w:p>
        </w:tc>
      </w:tr>
      <w:tr w:rsidR="00D55F4F" w:rsidRPr="00537E40" w14:paraId="68A49493"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430962E1" w14:textId="77777777" w:rsidR="00D55F4F" w:rsidRDefault="00D55F4F" w:rsidP="00D55F4F">
            <w:pPr>
              <w:spacing w:after="0"/>
              <w:rPr>
                <w:rFonts w:cs="Arial"/>
                <w:b/>
                <w:bCs/>
                <w:color w:val="000000"/>
                <w:szCs w:val="20"/>
              </w:rPr>
            </w:pPr>
            <w:r>
              <w:rPr>
                <w:rFonts w:cs="Arial"/>
                <w:b/>
                <w:bCs/>
                <w:color w:val="000000"/>
                <w:szCs w:val="20"/>
              </w:rPr>
              <w:t>Total (City of Melbourne)</w:t>
            </w:r>
          </w:p>
        </w:tc>
        <w:tc>
          <w:tcPr>
            <w:tcW w:w="1304" w:type="dxa"/>
            <w:tcBorders>
              <w:top w:val="nil"/>
              <w:left w:val="nil"/>
              <w:bottom w:val="single" w:sz="4" w:space="0" w:color="auto"/>
              <w:right w:val="single" w:sz="4" w:space="0" w:color="auto"/>
            </w:tcBorders>
            <w:shd w:val="clear" w:color="auto" w:fill="auto"/>
            <w:noWrap/>
            <w:vAlign w:val="center"/>
          </w:tcPr>
          <w:p w14:paraId="0438891C" w14:textId="16DB2428" w:rsidR="00D55F4F" w:rsidRPr="006E028D" w:rsidRDefault="00D55F4F" w:rsidP="110985B9">
            <w:pPr>
              <w:spacing w:after="0" w:line="240" w:lineRule="auto"/>
              <w:jc w:val="right"/>
              <w:rPr>
                <w:rFonts w:cs="Arial"/>
                <w:b/>
                <w:bCs/>
                <w:color w:val="000000"/>
              </w:rPr>
            </w:pPr>
            <w:r w:rsidRPr="110985B9">
              <w:rPr>
                <w:rFonts w:cs="Arial"/>
                <w:b/>
                <w:bCs/>
                <w:color w:val="000000" w:themeColor="text1"/>
              </w:rPr>
              <w:t xml:space="preserve">26,935 </w:t>
            </w:r>
          </w:p>
        </w:tc>
        <w:tc>
          <w:tcPr>
            <w:tcW w:w="1304" w:type="dxa"/>
            <w:tcBorders>
              <w:top w:val="nil"/>
              <w:left w:val="nil"/>
              <w:bottom w:val="single" w:sz="4" w:space="0" w:color="auto"/>
              <w:right w:val="single" w:sz="4" w:space="0" w:color="auto"/>
            </w:tcBorders>
            <w:shd w:val="clear" w:color="auto" w:fill="auto"/>
            <w:noWrap/>
            <w:vAlign w:val="center"/>
          </w:tcPr>
          <w:p w14:paraId="7036D531" w14:textId="0A902561" w:rsidR="00D55F4F" w:rsidRPr="006E028D" w:rsidRDefault="00D55F4F" w:rsidP="110985B9">
            <w:pPr>
              <w:spacing w:after="0" w:line="240" w:lineRule="auto"/>
              <w:jc w:val="right"/>
              <w:rPr>
                <w:rFonts w:cs="Arial"/>
                <w:b/>
                <w:bCs/>
                <w:color w:val="000000"/>
              </w:rPr>
            </w:pPr>
            <w:r w:rsidRPr="0082290B">
              <w:rPr>
                <w:rFonts w:cs="Arial"/>
                <w:b/>
                <w:bCs/>
                <w:color w:val="000000" w:themeColor="text1"/>
              </w:rPr>
              <w:t xml:space="preserve">30,026 </w:t>
            </w:r>
          </w:p>
        </w:tc>
        <w:tc>
          <w:tcPr>
            <w:tcW w:w="1130" w:type="dxa"/>
            <w:tcBorders>
              <w:top w:val="nil"/>
              <w:left w:val="nil"/>
              <w:bottom w:val="single" w:sz="4" w:space="0" w:color="auto"/>
              <w:right w:val="single" w:sz="4" w:space="0" w:color="auto"/>
            </w:tcBorders>
            <w:shd w:val="clear" w:color="auto" w:fill="auto"/>
            <w:noWrap/>
            <w:vAlign w:val="center"/>
          </w:tcPr>
          <w:p w14:paraId="45B5A57A" w14:textId="052D0375" w:rsidR="00D55F4F" w:rsidRPr="006E028D" w:rsidRDefault="00D55F4F" w:rsidP="110985B9">
            <w:pPr>
              <w:spacing w:after="0" w:line="240" w:lineRule="auto"/>
              <w:jc w:val="right"/>
              <w:rPr>
                <w:rFonts w:cs="Arial"/>
                <w:b/>
                <w:bCs/>
                <w:color w:val="000000"/>
              </w:rPr>
            </w:pPr>
            <w:r w:rsidRPr="0082290B">
              <w:rPr>
                <w:rFonts w:cs="Arial"/>
                <w:b/>
                <w:bCs/>
                <w:color w:val="000000" w:themeColor="text1"/>
              </w:rPr>
              <w:t xml:space="preserve">33,246 </w:t>
            </w:r>
          </w:p>
        </w:tc>
        <w:tc>
          <w:tcPr>
            <w:tcW w:w="1418" w:type="dxa"/>
            <w:tcBorders>
              <w:top w:val="nil"/>
              <w:left w:val="nil"/>
              <w:bottom w:val="single" w:sz="4" w:space="0" w:color="auto"/>
              <w:right w:val="single" w:sz="4" w:space="0" w:color="auto"/>
            </w:tcBorders>
            <w:shd w:val="clear" w:color="auto" w:fill="auto"/>
            <w:noWrap/>
            <w:vAlign w:val="center"/>
          </w:tcPr>
          <w:p w14:paraId="00864B5F" w14:textId="74AFADD6" w:rsidR="00D55F4F" w:rsidRPr="006E028D" w:rsidRDefault="00D55F4F" w:rsidP="110985B9">
            <w:pPr>
              <w:spacing w:after="0" w:line="240" w:lineRule="auto"/>
              <w:jc w:val="right"/>
              <w:rPr>
                <w:rFonts w:cs="Arial"/>
                <w:b/>
                <w:bCs/>
                <w:color w:val="000000"/>
              </w:rPr>
            </w:pPr>
            <w:r w:rsidRPr="0082290B">
              <w:rPr>
                <w:rFonts w:cs="Arial"/>
                <w:b/>
                <w:bCs/>
                <w:color w:val="000000" w:themeColor="text1"/>
              </w:rPr>
              <w:t xml:space="preserve">6,311 </w:t>
            </w:r>
          </w:p>
        </w:tc>
        <w:tc>
          <w:tcPr>
            <w:tcW w:w="1477" w:type="dxa"/>
            <w:tcBorders>
              <w:top w:val="nil"/>
              <w:left w:val="nil"/>
              <w:bottom w:val="single" w:sz="4" w:space="0" w:color="auto"/>
              <w:right w:val="single" w:sz="4" w:space="0" w:color="auto"/>
            </w:tcBorders>
            <w:shd w:val="clear" w:color="auto" w:fill="auto"/>
            <w:noWrap/>
            <w:vAlign w:val="center"/>
          </w:tcPr>
          <w:p w14:paraId="33948BC0" w14:textId="0E5AFC7D" w:rsidR="00D55F4F" w:rsidRPr="006E028D" w:rsidRDefault="00D55F4F" w:rsidP="110985B9">
            <w:pPr>
              <w:spacing w:after="0" w:line="240" w:lineRule="auto"/>
              <w:jc w:val="right"/>
              <w:rPr>
                <w:rFonts w:cs="Arial"/>
                <w:b/>
                <w:bCs/>
                <w:color w:val="000000"/>
              </w:rPr>
            </w:pPr>
            <w:r w:rsidRPr="0082290B">
              <w:rPr>
                <w:rFonts w:cs="Arial"/>
                <w:b/>
                <w:bCs/>
                <w:color w:val="000000" w:themeColor="text1"/>
              </w:rPr>
              <w:t>1.1%</w:t>
            </w:r>
          </w:p>
        </w:tc>
      </w:tr>
    </w:tbl>
    <w:p w14:paraId="3701C8C4" w14:textId="28EC708B" w:rsidR="00F568BB" w:rsidRPr="00537E40" w:rsidRDefault="00F568BB" w:rsidP="110985B9">
      <w:pPr>
        <w:spacing w:before="120"/>
        <w:rPr>
          <w:sz w:val="16"/>
          <w:szCs w:val="16"/>
        </w:rPr>
      </w:pPr>
      <w:r w:rsidRPr="110985B9">
        <w:rPr>
          <w:sz w:val="16"/>
          <w:szCs w:val="16"/>
        </w:rPr>
        <w:t xml:space="preserve">Source: SGS Economics and Planning, </w:t>
      </w:r>
      <w:r w:rsidR="00D55F4F" w:rsidRPr="110985B9">
        <w:rPr>
          <w:sz w:val="16"/>
          <w:szCs w:val="16"/>
        </w:rPr>
        <w:t>2022</w:t>
      </w:r>
      <w:r w:rsidR="00345820" w:rsidRPr="110985B9">
        <w:rPr>
          <w:sz w:val="16"/>
          <w:szCs w:val="16"/>
        </w:rPr>
        <w:t xml:space="preserve">.  </w:t>
      </w:r>
      <w:r w:rsidR="00915EAC" w:rsidRPr="110985B9">
        <w:rPr>
          <w:sz w:val="16"/>
          <w:szCs w:val="16"/>
        </w:rPr>
        <w:t>Table shows rounded figures.</w:t>
      </w:r>
    </w:p>
    <w:p w14:paraId="7F0ADDA3" w14:textId="08F0F59A" w:rsidR="007121A4" w:rsidRPr="00537E40" w:rsidRDefault="00F568BB" w:rsidP="110985B9">
      <w:pPr>
        <w:pStyle w:val="Heading2"/>
        <w:rPr>
          <w:rFonts w:hint="eastAsia"/>
        </w:rPr>
      </w:pPr>
      <w:r w:rsidRPr="110985B9">
        <w:rPr>
          <w:sz w:val="16"/>
          <w:szCs w:val="16"/>
        </w:rPr>
        <w:br w:type="page"/>
      </w:r>
      <w:bookmarkStart w:id="30" w:name="_Toc119682398"/>
      <w:r w:rsidR="007121A4">
        <w:lastRenderedPageBreak/>
        <w:t xml:space="preserve">Jobs by </w:t>
      </w:r>
      <w:r w:rsidR="004C6848">
        <w:t xml:space="preserve">industry </w:t>
      </w:r>
      <w:r w:rsidR="007121A4">
        <w:t>202</w:t>
      </w:r>
      <w:r w:rsidR="000D3E7D">
        <w:t>1</w:t>
      </w:r>
      <w:r w:rsidR="007121A4">
        <w:t>, 203</w:t>
      </w:r>
      <w:r w:rsidR="000D3E7D">
        <w:t>1</w:t>
      </w:r>
      <w:r w:rsidR="007121A4">
        <w:t xml:space="preserve"> and 204</w:t>
      </w:r>
      <w:r w:rsidR="000D3E7D">
        <w:t>1</w:t>
      </w:r>
      <w:bookmarkEnd w:id="30"/>
    </w:p>
    <w:tbl>
      <w:tblPr>
        <w:tblW w:w="9694" w:type="dxa"/>
        <w:tblLayout w:type="fixed"/>
        <w:tblLook w:val="04A0" w:firstRow="1" w:lastRow="0" w:firstColumn="1" w:lastColumn="0" w:noHBand="0" w:noVBand="1"/>
      </w:tblPr>
      <w:tblGrid>
        <w:gridCol w:w="3061"/>
        <w:gridCol w:w="1304"/>
        <w:gridCol w:w="1304"/>
        <w:gridCol w:w="1272"/>
        <w:gridCol w:w="1276"/>
        <w:gridCol w:w="1477"/>
      </w:tblGrid>
      <w:tr w:rsidR="00E57B1C" w:rsidRPr="00537E40" w14:paraId="500445FF" w14:textId="77777777" w:rsidTr="110985B9">
        <w:trPr>
          <w:trHeight w:val="285"/>
        </w:trPr>
        <w:tc>
          <w:tcPr>
            <w:tcW w:w="3061" w:type="dxa"/>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416DE5FB" w14:textId="77777777" w:rsidR="00E57B1C" w:rsidRPr="00B07612" w:rsidRDefault="00E57B1C" w:rsidP="00E57B1C">
            <w:pPr>
              <w:spacing w:after="0" w:line="240" w:lineRule="auto"/>
              <w:rPr>
                <w:rFonts w:eastAsia="Times New Roman" w:cs="Arial"/>
                <w:b/>
                <w:bCs/>
                <w:color w:val="000000"/>
                <w:szCs w:val="20"/>
                <w:lang w:eastAsia="en-AU"/>
              </w:rPr>
            </w:pPr>
            <w:r>
              <w:rPr>
                <w:rFonts w:eastAsia="Times New Roman" w:cs="Arial"/>
                <w:b/>
                <w:bCs/>
                <w:color w:val="000000"/>
                <w:szCs w:val="20"/>
                <w:lang w:eastAsia="en-AU"/>
              </w:rPr>
              <w:t>Industry</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528E4" w14:textId="50FE4077"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202</w:t>
            </w:r>
            <w:r w:rsidR="000D3E7D" w:rsidRPr="110985B9">
              <w:rPr>
                <w:rFonts w:eastAsia="Times New Roman" w:cs="Arial"/>
                <w:b/>
                <w:bCs/>
                <w:color w:val="000000" w:themeColor="text1"/>
                <w:lang w:eastAsia="en-AU"/>
              </w:rPr>
              <w:t>1</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C6B9A" w14:textId="2042B2E7"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203</w:t>
            </w:r>
            <w:r w:rsidR="000D3E7D" w:rsidRPr="110985B9">
              <w:rPr>
                <w:rFonts w:eastAsia="Times New Roman" w:cs="Arial"/>
                <w:b/>
                <w:bCs/>
                <w:color w:val="000000" w:themeColor="text1"/>
                <w:lang w:eastAsia="en-AU"/>
              </w:rPr>
              <w:t>1</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36DEC" w14:textId="2D172D84"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204</w:t>
            </w:r>
            <w:r w:rsidR="000D3E7D" w:rsidRPr="110985B9">
              <w:rPr>
                <w:rFonts w:eastAsia="Times New Roman" w:cs="Arial"/>
                <w:b/>
                <w:bCs/>
                <w:color w:val="000000" w:themeColor="text1"/>
                <w:lang w:eastAsia="en-AU"/>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0F75CB" w14:textId="3BAE593B"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Change 202</w:t>
            </w:r>
            <w:r w:rsidR="000D3E7D" w:rsidRPr="110985B9">
              <w:rPr>
                <w:rFonts w:eastAsia="Times New Roman" w:cs="Arial"/>
                <w:b/>
                <w:bCs/>
                <w:color w:val="000000" w:themeColor="text1"/>
                <w:lang w:eastAsia="en-AU"/>
              </w:rPr>
              <w:t>1</w:t>
            </w:r>
            <w:r w:rsidRPr="110985B9">
              <w:rPr>
                <w:rFonts w:eastAsia="Times New Roman" w:cs="Arial"/>
                <w:b/>
                <w:bCs/>
                <w:color w:val="000000" w:themeColor="text1"/>
                <w:lang w:eastAsia="en-AU"/>
              </w:rPr>
              <w:t>-204</w:t>
            </w:r>
            <w:r w:rsidR="000D3E7D" w:rsidRPr="110985B9">
              <w:rPr>
                <w:rFonts w:eastAsia="Times New Roman" w:cs="Arial"/>
                <w:b/>
                <w:bCs/>
                <w:color w:val="000000" w:themeColor="text1"/>
                <w:lang w:eastAsia="en-AU"/>
              </w:rPr>
              <w:t>1</w:t>
            </w:r>
          </w:p>
        </w:tc>
        <w:tc>
          <w:tcPr>
            <w:tcW w:w="1477" w:type="dxa"/>
            <w:tcBorders>
              <w:top w:val="single" w:sz="4" w:space="0" w:color="auto"/>
              <w:left w:val="nil"/>
              <w:bottom w:val="single" w:sz="4" w:space="0" w:color="auto"/>
              <w:right w:val="single" w:sz="4" w:space="0" w:color="auto"/>
            </w:tcBorders>
            <w:shd w:val="clear" w:color="auto" w:fill="auto"/>
            <w:vAlign w:val="center"/>
          </w:tcPr>
          <w:p w14:paraId="45F4424E" w14:textId="6AFFD164"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Contribution to Growth 202</w:t>
            </w:r>
            <w:r w:rsidR="000D3E7D" w:rsidRPr="110985B9">
              <w:rPr>
                <w:rFonts w:eastAsia="Times New Roman" w:cs="Arial"/>
                <w:b/>
                <w:bCs/>
                <w:color w:val="000000" w:themeColor="text1"/>
                <w:lang w:eastAsia="en-AU"/>
              </w:rPr>
              <w:t>1</w:t>
            </w:r>
            <w:r w:rsidRPr="110985B9">
              <w:rPr>
                <w:rFonts w:eastAsia="Times New Roman" w:cs="Arial"/>
                <w:b/>
                <w:bCs/>
                <w:color w:val="000000" w:themeColor="text1"/>
                <w:lang w:eastAsia="en-AU"/>
              </w:rPr>
              <w:t>-204</w:t>
            </w:r>
            <w:r w:rsidR="000D3E7D" w:rsidRPr="110985B9">
              <w:rPr>
                <w:rFonts w:eastAsia="Times New Roman" w:cs="Arial"/>
                <w:b/>
                <w:bCs/>
                <w:color w:val="000000" w:themeColor="text1"/>
                <w:lang w:eastAsia="en-AU"/>
              </w:rPr>
              <w:t>1</w:t>
            </w:r>
          </w:p>
        </w:tc>
      </w:tr>
      <w:tr w:rsidR="000D3E7D" w:rsidRPr="00537E40" w14:paraId="00A4FEEC"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62BD765A" w14:textId="7810F6B1" w:rsidR="000D3E7D" w:rsidRDefault="000D3E7D" w:rsidP="110985B9">
            <w:pPr>
              <w:spacing w:after="0" w:line="240" w:lineRule="auto"/>
              <w:rPr>
                <w:rFonts w:cs="Arial"/>
                <w:b/>
                <w:bCs/>
                <w:color w:val="000000"/>
              </w:rPr>
            </w:pPr>
            <w:r w:rsidRPr="0082290B">
              <w:rPr>
                <w:rFonts w:cs="Arial"/>
                <w:b/>
                <w:bCs/>
                <w:color w:val="000000" w:themeColor="text1"/>
              </w:rPr>
              <w:t>Business services</w:t>
            </w:r>
          </w:p>
        </w:tc>
        <w:tc>
          <w:tcPr>
            <w:tcW w:w="1304" w:type="dxa"/>
            <w:tcBorders>
              <w:top w:val="nil"/>
              <w:left w:val="nil"/>
              <w:bottom w:val="single" w:sz="4" w:space="0" w:color="auto"/>
              <w:right w:val="single" w:sz="4" w:space="0" w:color="auto"/>
            </w:tcBorders>
            <w:shd w:val="clear" w:color="auto" w:fill="auto"/>
            <w:noWrap/>
            <w:vAlign w:val="center"/>
          </w:tcPr>
          <w:p w14:paraId="030C5480" w14:textId="0C32DFF7" w:rsidR="000D3E7D" w:rsidRPr="00D55F4F" w:rsidRDefault="000D3E7D" w:rsidP="110985B9">
            <w:pPr>
              <w:spacing w:after="0" w:line="240" w:lineRule="auto"/>
              <w:jc w:val="right"/>
              <w:rPr>
                <w:rFonts w:cs="Arial"/>
                <w:color w:val="000000"/>
              </w:rPr>
            </w:pPr>
            <w:r w:rsidRPr="0082290B">
              <w:rPr>
                <w:rFonts w:cs="Arial"/>
                <w:color w:val="000000" w:themeColor="text1"/>
              </w:rPr>
              <w:t xml:space="preserve">      80,614 </w:t>
            </w:r>
          </w:p>
        </w:tc>
        <w:tc>
          <w:tcPr>
            <w:tcW w:w="1304" w:type="dxa"/>
            <w:tcBorders>
              <w:top w:val="nil"/>
              <w:left w:val="nil"/>
              <w:bottom w:val="single" w:sz="4" w:space="0" w:color="auto"/>
              <w:right w:val="single" w:sz="4" w:space="0" w:color="auto"/>
            </w:tcBorders>
            <w:shd w:val="clear" w:color="auto" w:fill="auto"/>
            <w:noWrap/>
            <w:vAlign w:val="center"/>
          </w:tcPr>
          <w:p w14:paraId="5B3CB9EE" w14:textId="5B9E492D" w:rsidR="000D3E7D" w:rsidRPr="006E028D" w:rsidRDefault="000D3E7D" w:rsidP="110985B9">
            <w:pPr>
              <w:spacing w:after="0"/>
              <w:jc w:val="right"/>
              <w:rPr>
                <w:rFonts w:cs="Arial"/>
                <w:color w:val="000000"/>
              </w:rPr>
            </w:pPr>
            <w:r w:rsidRPr="0082290B">
              <w:rPr>
                <w:rFonts w:cs="Arial"/>
                <w:color w:val="000000" w:themeColor="text1"/>
              </w:rPr>
              <w:t xml:space="preserve">      102,042 </w:t>
            </w:r>
          </w:p>
        </w:tc>
        <w:tc>
          <w:tcPr>
            <w:tcW w:w="1272" w:type="dxa"/>
            <w:tcBorders>
              <w:top w:val="nil"/>
              <w:left w:val="nil"/>
              <w:bottom w:val="single" w:sz="4" w:space="0" w:color="auto"/>
              <w:right w:val="single" w:sz="4" w:space="0" w:color="auto"/>
            </w:tcBorders>
            <w:shd w:val="clear" w:color="auto" w:fill="auto"/>
            <w:noWrap/>
            <w:vAlign w:val="center"/>
          </w:tcPr>
          <w:p w14:paraId="5E008A0D" w14:textId="003223B2" w:rsidR="000D3E7D" w:rsidRPr="006E028D" w:rsidRDefault="000D3E7D" w:rsidP="110985B9">
            <w:pPr>
              <w:spacing w:after="0"/>
              <w:jc w:val="right"/>
              <w:rPr>
                <w:rFonts w:cs="Arial"/>
                <w:color w:val="000000"/>
              </w:rPr>
            </w:pPr>
            <w:r w:rsidRPr="0082290B">
              <w:rPr>
                <w:rFonts w:cs="Arial"/>
                <w:color w:val="000000" w:themeColor="text1"/>
              </w:rPr>
              <w:t xml:space="preserve">128,834 </w:t>
            </w:r>
          </w:p>
        </w:tc>
        <w:tc>
          <w:tcPr>
            <w:tcW w:w="1276" w:type="dxa"/>
            <w:tcBorders>
              <w:top w:val="nil"/>
              <w:left w:val="nil"/>
              <w:bottom w:val="single" w:sz="4" w:space="0" w:color="auto"/>
              <w:right w:val="single" w:sz="4" w:space="0" w:color="auto"/>
            </w:tcBorders>
            <w:shd w:val="clear" w:color="auto" w:fill="auto"/>
            <w:noWrap/>
            <w:vAlign w:val="center"/>
          </w:tcPr>
          <w:p w14:paraId="5FFAE886" w14:textId="4FD6817C" w:rsidR="000D3E7D" w:rsidRPr="006E028D" w:rsidRDefault="000D3E7D" w:rsidP="110985B9">
            <w:pPr>
              <w:spacing w:after="0"/>
              <w:jc w:val="right"/>
              <w:rPr>
                <w:rFonts w:cs="Arial"/>
                <w:color w:val="000000"/>
              </w:rPr>
            </w:pPr>
            <w:r w:rsidRPr="0082290B">
              <w:rPr>
                <w:rFonts w:cs="Arial"/>
                <w:color w:val="000000" w:themeColor="text1"/>
              </w:rPr>
              <w:t xml:space="preserve">48,219 </w:t>
            </w:r>
          </w:p>
        </w:tc>
        <w:tc>
          <w:tcPr>
            <w:tcW w:w="1477" w:type="dxa"/>
            <w:tcBorders>
              <w:top w:val="nil"/>
              <w:left w:val="nil"/>
              <w:bottom w:val="single" w:sz="4" w:space="0" w:color="auto"/>
              <w:right w:val="single" w:sz="4" w:space="0" w:color="auto"/>
            </w:tcBorders>
            <w:shd w:val="clear" w:color="auto" w:fill="auto"/>
            <w:noWrap/>
            <w:vAlign w:val="center"/>
          </w:tcPr>
          <w:p w14:paraId="7E703BD2" w14:textId="54B2884C" w:rsidR="000D3E7D" w:rsidRPr="006E028D" w:rsidRDefault="000D3E7D" w:rsidP="110985B9">
            <w:pPr>
              <w:spacing w:after="0"/>
              <w:jc w:val="right"/>
              <w:rPr>
                <w:rFonts w:cs="Arial"/>
                <w:color w:val="000000"/>
              </w:rPr>
            </w:pPr>
            <w:r w:rsidRPr="0082290B">
              <w:rPr>
                <w:rFonts w:cs="Arial"/>
                <w:color w:val="000000" w:themeColor="text1"/>
              </w:rPr>
              <w:t>25.0%</w:t>
            </w:r>
          </w:p>
        </w:tc>
      </w:tr>
      <w:tr w:rsidR="000D3E7D" w:rsidRPr="00537E40" w14:paraId="25D790C3"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61494C90" w14:textId="1514C874" w:rsidR="000D3E7D" w:rsidRDefault="000D3E7D" w:rsidP="110985B9">
            <w:pPr>
              <w:spacing w:after="0" w:line="240" w:lineRule="auto"/>
              <w:rPr>
                <w:rFonts w:cs="Arial"/>
                <w:b/>
                <w:bCs/>
                <w:color w:val="000000"/>
              </w:rPr>
            </w:pPr>
            <w:r w:rsidRPr="0082290B">
              <w:rPr>
                <w:rFonts w:cs="Arial"/>
                <w:b/>
                <w:bCs/>
                <w:color w:val="000000" w:themeColor="text1"/>
              </w:rPr>
              <w:t>Health care and social assistance</w:t>
            </w:r>
          </w:p>
        </w:tc>
        <w:tc>
          <w:tcPr>
            <w:tcW w:w="1304" w:type="dxa"/>
            <w:tcBorders>
              <w:top w:val="nil"/>
              <w:left w:val="nil"/>
              <w:bottom w:val="single" w:sz="4" w:space="0" w:color="auto"/>
              <w:right w:val="single" w:sz="4" w:space="0" w:color="auto"/>
            </w:tcBorders>
            <w:shd w:val="clear" w:color="auto" w:fill="auto"/>
            <w:noWrap/>
            <w:vAlign w:val="center"/>
          </w:tcPr>
          <w:p w14:paraId="46033774" w14:textId="4D6AFD5F" w:rsidR="000D3E7D" w:rsidRPr="006E028D" w:rsidRDefault="000D3E7D" w:rsidP="110985B9">
            <w:pPr>
              <w:spacing w:after="0"/>
              <w:jc w:val="right"/>
              <w:rPr>
                <w:rFonts w:cs="Arial"/>
                <w:color w:val="000000"/>
              </w:rPr>
            </w:pPr>
            <w:r w:rsidRPr="0082290B">
              <w:rPr>
                <w:rFonts w:cs="Arial"/>
                <w:color w:val="000000" w:themeColor="text1"/>
              </w:rPr>
              <w:t xml:space="preserve">      44,324 </w:t>
            </w:r>
          </w:p>
        </w:tc>
        <w:tc>
          <w:tcPr>
            <w:tcW w:w="1304" w:type="dxa"/>
            <w:tcBorders>
              <w:top w:val="nil"/>
              <w:left w:val="nil"/>
              <w:bottom w:val="single" w:sz="4" w:space="0" w:color="auto"/>
              <w:right w:val="single" w:sz="4" w:space="0" w:color="auto"/>
            </w:tcBorders>
            <w:shd w:val="clear" w:color="auto" w:fill="auto"/>
            <w:noWrap/>
            <w:vAlign w:val="center"/>
          </w:tcPr>
          <w:p w14:paraId="29C3F5C8" w14:textId="0125FE06" w:rsidR="000D3E7D" w:rsidRPr="006E028D" w:rsidRDefault="000D3E7D" w:rsidP="110985B9">
            <w:pPr>
              <w:spacing w:after="0"/>
              <w:jc w:val="right"/>
              <w:rPr>
                <w:rFonts w:cs="Arial"/>
                <w:color w:val="000000"/>
              </w:rPr>
            </w:pPr>
            <w:r w:rsidRPr="0082290B">
              <w:rPr>
                <w:rFonts w:cs="Arial"/>
                <w:color w:val="000000" w:themeColor="text1"/>
              </w:rPr>
              <w:t xml:space="preserve">        63,973 </w:t>
            </w:r>
          </w:p>
        </w:tc>
        <w:tc>
          <w:tcPr>
            <w:tcW w:w="1272" w:type="dxa"/>
            <w:tcBorders>
              <w:top w:val="nil"/>
              <w:left w:val="nil"/>
              <w:bottom w:val="single" w:sz="4" w:space="0" w:color="auto"/>
              <w:right w:val="single" w:sz="4" w:space="0" w:color="auto"/>
            </w:tcBorders>
            <w:shd w:val="clear" w:color="auto" w:fill="auto"/>
            <w:noWrap/>
            <w:vAlign w:val="center"/>
          </w:tcPr>
          <w:p w14:paraId="44D7990F" w14:textId="4D87E662" w:rsidR="000D3E7D" w:rsidRPr="006E028D" w:rsidRDefault="000D3E7D" w:rsidP="110985B9">
            <w:pPr>
              <w:spacing w:after="0"/>
              <w:jc w:val="right"/>
              <w:rPr>
                <w:rFonts w:cs="Arial"/>
                <w:color w:val="000000"/>
              </w:rPr>
            </w:pPr>
            <w:r w:rsidRPr="0082290B">
              <w:rPr>
                <w:rFonts w:cs="Arial"/>
                <w:color w:val="000000" w:themeColor="text1"/>
              </w:rPr>
              <w:t xml:space="preserve">76,440 </w:t>
            </w:r>
          </w:p>
        </w:tc>
        <w:tc>
          <w:tcPr>
            <w:tcW w:w="1276" w:type="dxa"/>
            <w:tcBorders>
              <w:top w:val="nil"/>
              <w:left w:val="nil"/>
              <w:bottom w:val="single" w:sz="4" w:space="0" w:color="auto"/>
              <w:right w:val="single" w:sz="4" w:space="0" w:color="auto"/>
            </w:tcBorders>
            <w:shd w:val="clear" w:color="auto" w:fill="auto"/>
            <w:noWrap/>
            <w:vAlign w:val="center"/>
          </w:tcPr>
          <w:p w14:paraId="0647C7F4" w14:textId="7195667B" w:rsidR="000D3E7D" w:rsidRPr="006E028D" w:rsidRDefault="000D3E7D" w:rsidP="110985B9">
            <w:pPr>
              <w:spacing w:after="0"/>
              <w:jc w:val="right"/>
              <w:rPr>
                <w:rFonts w:cs="Arial"/>
                <w:color w:val="000000"/>
              </w:rPr>
            </w:pPr>
            <w:r w:rsidRPr="0082290B">
              <w:rPr>
                <w:rFonts w:cs="Arial"/>
                <w:color w:val="000000" w:themeColor="text1"/>
              </w:rPr>
              <w:t xml:space="preserve">32,116 </w:t>
            </w:r>
          </w:p>
        </w:tc>
        <w:tc>
          <w:tcPr>
            <w:tcW w:w="1477" w:type="dxa"/>
            <w:tcBorders>
              <w:top w:val="nil"/>
              <w:left w:val="nil"/>
              <w:bottom w:val="single" w:sz="4" w:space="0" w:color="auto"/>
              <w:right w:val="single" w:sz="4" w:space="0" w:color="auto"/>
            </w:tcBorders>
            <w:shd w:val="clear" w:color="auto" w:fill="auto"/>
            <w:noWrap/>
            <w:vAlign w:val="center"/>
          </w:tcPr>
          <w:p w14:paraId="418611F0" w14:textId="3D5FB9CD" w:rsidR="000D3E7D" w:rsidRPr="006E028D" w:rsidRDefault="000D3E7D" w:rsidP="110985B9">
            <w:pPr>
              <w:spacing w:after="0"/>
              <w:jc w:val="right"/>
              <w:rPr>
                <w:rFonts w:cs="Arial"/>
                <w:color w:val="000000"/>
              </w:rPr>
            </w:pPr>
            <w:r w:rsidRPr="0082290B">
              <w:rPr>
                <w:rFonts w:cs="Arial"/>
                <w:color w:val="000000" w:themeColor="text1"/>
              </w:rPr>
              <w:t>16.6%</w:t>
            </w:r>
          </w:p>
        </w:tc>
      </w:tr>
      <w:tr w:rsidR="000D3E7D" w:rsidRPr="00537E40" w14:paraId="3A578948"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06DE95C6" w14:textId="1B80D383" w:rsidR="000D3E7D" w:rsidRDefault="000D3E7D" w:rsidP="110985B9">
            <w:pPr>
              <w:spacing w:after="0" w:line="240" w:lineRule="auto"/>
              <w:rPr>
                <w:rFonts w:cs="Arial"/>
                <w:b/>
                <w:bCs/>
                <w:color w:val="000000"/>
              </w:rPr>
            </w:pPr>
            <w:r w:rsidRPr="0082290B">
              <w:rPr>
                <w:rFonts w:cs="Arial"/>
                <w:b/>
                <w:bCs/>
                <w:color w:val="000000" w:themeColor="text1"/>
              </w:rPr>
              <w:t>Education and training</w:t>
            </w:r>
          </w:p>
        </w:tc>
        <w:tc>
          <w:tcPr>
            <w:tcW w:w="1304" w:type="dxa"/>
            <w:tcBorders>
              <w:top w:val="nil"/>
              <w:left w:val="nil"/>
              <w:bottom w:val="single" w:sz="4" w:space="0" w:color="auto"/>
              <w:right w:val="single" w:sz="4" w:space="0" w:color="auto"/>
            </w:tcBorders>
            <w:shd w:val="clear" w:color="auto" w:fill="auto"/>
            <w:noWrap/>
            <w:vAlign w:val="center"/>
          </w:tcPr>
          <w:p w14:paraId="1BDACD8F" w14:textId="5D1505B8" w:rsidR="000D3E7D" w:rsidRPr="006E028D" w:rsidRDefault="000D3E7D" w:rsidP="110985B9">
            <w:pPr>
              <w:spacing w:after="0"/>
              <w:jc w:val="right"/>
              <w:rPr>
                <w:rFonts w:cs="Arial"/>
                <w:color w:val="000000"/>
              </w:rPr>
            </w:pPr>
            <w:r w:rsidRPr="0082290B">
              <w:rPr>
                <w:rFonts w:cs="Arial"/>
                <w:color w:val="000000" w:themeColor="text1"/>
              </w:rPr>
              <w:t xml:space="preserve">      25,314 </w:t>
            </w:r>
          </w:p>
        </w:tc>
        <w:tc>
          <w:tcPr>
            <w:tcW w:w="1304" w:type="dxa"/>
            <w:tcBorders>
              <w:top w:val="nil"/>
              <w:left w:val="nil"/>
              <w:bottom w:val="single" w:sz="4" w:space="0" w:color="auto"/>
              <w:right w:val="single" w:sz="4" w:space="0" w:color="auto"/>
            </w:tcBorders>
            <w:shd w:val="clear" w:color="auto" w:fill="auto"/>
            <w:noWrap/>
            <w:vAlign w:val="center"/>
          </w:tcPr>
          <w:p w14:paraId="3B87AFA0" w14:textId="3BB85058" w:rsidR="000D3E7D" w:rsidRPr="006E028D" w:rsidRDefault="000D3E7D" w:rsidP="110985B9">
            <w:pPr>
              <w:spacing w:after="0"/>
              <w:jc w:val="right"/>
              <w:rPr>
                <w:rFonts w:cs="Arial"/>
                <w:color w:val="000000"/>
              </w:rPr>
            </w:pPr>
            <w:r w:rsidRPr="0082290B">
              <w:rPr>
                <w:rFonts w:cs="Arial"/>
                <w:color w:val="000000" w:themeColor="text1"/>
              </w:rPr>
              <w:t xml:space="preserve">        36,348 </w:t>
            </w:r>
          </w:p>
        </w:tc>
        <w:tc>
          <w:tcPr>
            <w:tcW w:w="1272" w:type="dxa"/>
            <w:tcBorders>
              <w:top w:val="nil"/>
              <w:left w:val="nil"/>
              <w:bottom w:val="single" w:sz="4" w:space="0" w:color="auto"/>
              <w:right w:val="single" w:sz="4" w:space="0" w:color="auto"/>
            </w:tcBorders>
            <w:shd w:val="clear" w:color="auto" w:fill="auto"/>
            <w:noWrap/>
            <w:vAlign w:val="center"/>
          </w:tcPr>
          <w:p w14:paraId="1E394F9B" w14:textId="7A3B093D" w:rsidR="000D3E7D" w:rsidRPr="006E028D" w:rsidRDefault="000D3E7D" w:rsidP="110985B9">
            <w:pPr>
              <w:spacing w:after="0"/>
              <w:jc w:val="right"/>
              <w:rPr>
                <w:rFonts w:cs="Arial"/>
                <w:color w:val="000000"/>
              </w:rPr>
            </w:pPr>
            <w:r w:rsidRPr="0082290B">
              <w:rPr>
                <w:rFonts w:cs="Arial"/>
                <w:color w:val="000000" w:themeColor="text1"/>
              </w:rPr>
              <w:t xml:space="preserve">45,905 </w:t>
            </w:r>
          </w:p>
        </w:tc>
        <w:tc>
          <w:tcPr>
            <w:tcW w:w="1276" w:type="dxa"/>
            <w:tcBorders>
              <w:top w:val="nil"/>
              <w:left w:val="nil"/>
              <w:bottom w:val="single" w:sz="4" w:space="0" w:color="auto"/>
              <w:right w:val="single" w:sz="4" w:space="0" w:color="auto"/>
            </w:tcBorders>
            <w:shd w:val="clear" w:color="auto" w:fill="auto"/>
            <w:noWrap/>
            <w:vAlign w:val="center"/>
          </w:tcPr>
          <w:p w14:paraId="160BC919" w14:textId="2AA38E90" w:rsidR="000D3E7D" w:rsidRPr="006E028D" w:rsidRDefault="000D3E7D" w:rsidP="110985B9">
            <w:pPr>
              <w:spacing w:after="0"/>
              <w:jc w:val="right"/>
              <w:rPr>
                <w:rFonts w:cs="Arial"/>
                <w:color w:val="000000"/>
              </w:rPr>
            </w:pPr>
            <w:r w:rsidRPr="0082290B">
              <w:rPr>
                <w:rFonts w:cs="Arial"/>
                <w:color w:val="000000" w:themeColor="text1"/>
              </w:rPr>
              <w:t xml:space="preserve">20,591 </w:t>
            </w:r>
          </w:p>
        </w:tc>
        <w:tc>
          <w:tcPr>
            <w:tcW w:w="1477" w:type="dxa"/>
            <w:tcBorders>
              <w:top w:val="nil"/>
              <w:left w:val="nil"/>
              <w:bottom w:val="single" w:sz="4" w:space="0" w:color="auto"/>
              <w:right w:val="single" w:sz="4" w:space="0" w:color="auto"/>
            </w:tcBorders>
            <w:shd w:val="clear" w:color="auto" w:fill="auto"/>
            <w:noWrap/>
            <w:vAlign w:val="center"/>
          </w:tcPr>
          <w:p w14:paraId="0CC1E51A" w14:textId="70BC604D" w:rsidR="000D3E7D" w:rsidRPr="006E028D" w:rsidRDefault="000D3E7D" w:rsidP="110985B9">
            <w:pPr>
              <w:spacing w:after="0"/>
              <w:jc w:val="right"/>
              <w:rPr>
                <w:rFonts w:cs="Arial"/>
                <w:color w:val="000000"/>
              </w:rPr>
            </w:pPr>
            <w:r w:rsidRPr="0082290B">
              <w:rPr>
                <w:rFonts w:cs="Arial"/>
                <w:color w:val="000000" w:themeColor="text1"/>
              </w:rPr>
              <w:t>10.7%</w:t>
            </w:r>
          </w:p>
        </w:tc>
      </w:tr>
      <w:tr w:rsidR="000D3E7D" w:rsidRPr="00537E40" w14:paraId="128C875B"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3FE8C4B3" w14:textId="12EC3E6C" w:rsidR="000D3E7D" w:rsidRDefault="000D3E7D" w:rsidP="110985B9">
            <w:pPr>
              <w:spacing w:after="0" w:line="240" w:lineRule="auto"/>
              <w:rPr>
                <w:rFonts w:cs="Arial"/>
                <w:b/>
                <w:bCs/>
                <w:color w:val="000000"/>
              </w:rPr>
            </w:pPr>
            <w:r w:rsidRPr="0082290B">
              <w:rPr>
                <w:rFonts w:cs="Arial"/>
                <w:b/>
                <w:bCs/>
                <w:color w:val="000000" w:themeColor="text1"/>
              </w:rPr>
              <w:t>Food and beverage services</w:t>
            </w:r>
          </w:p>
        </w:tc>
        <w:tc>
          <w:tcPr>
            <w:tcW w:w="1304" w:type="dxa"/>
            <w:tcBorders>
              <w:top w:val="nil"/>
              <w:left w:val="nil"/>
              <w:bottom w:val="single" w:sz="4" w:space="0" w:color="auto"/>
              <w:right w:val="single" w:sz="4" w:space="0" w:color="auto"/>
            </w:tcBorders>
            <w:shd w:val="clear" w:color="auto" w:fill="auto"/>
            <w:noWrap/>
            <w:vAlign w:val="center"/>
          </w:tcPr>
          <w:p w14:paraId="74F732E1" w14:textId="2C27B975" w:rsidR="000D3E7D" w:rsidRPr="006E028D" w:rsidRDefault="000D3E7D" w:rsidP="110985B9">
            <w:pPr>
              <w:spacing w:after="0"/>
              <w:jc w:val="right"/>
              <w:rPr>
                <w:rFonts w:cs="Arial"/>
                <w:color w:val="000000"/>
              </w:rPr>
            </w:pPr>
            <w:r w:rsidRPr="0082290B">
              <w:rPr>
                <w:rFonts w:cs="Arial"/>
                <w:color w:val="000000" w:themeColor="text1"/>
              </w:rPr>
              <w:t xml:space="preserve">      33,327 </w:t>
            </w:r>
          </w:p>
        </w:tc>
        <w:tc>
          <w:tcPr>
            <w:tcW w:w="1304" w:type="dxa"/>
            <w:tcBorders>
              <w:top w:val="nil"/>
              <w:left w:val="nil"/>
              <w:bottom w:val="single" w:sz="4" w:space="0" w:color="auto"/>
              <w:right w:val="single" w:sz="4" w:space="0" w:color="auto"/>
            </w:tcBorders>
            <w:shd w:val="clear" w:color="auto" w:fill="auto"/>
            <w:noWrap/>
            <w:vAlign w:val="center"/>
          </w:tcPr>
          <w:p w14:paraId="5303C1C1" w14:textId="323AFF63" w:rsidR="000D3E7D" w:rsidRPr="006E028D" w:rsidRDefault="000D3E7D" w:rsidP="110985B9">
            <w:pPr>
              <w:spacing w:after="0"/>
              <w:jc w:val="right"/>
              <w:rPr>
                <w:rFonts w:cs="Arial"/>
                <w:color w:val="000000"/>
              </w:rPr>
            </w:pPr>
            <w:r w:rsidRPr="0082290B">
              <w:rPr>
                <w:rFonts w:cs="Arial"/>
                <w:color w:val="000000" w:themeColor="text1"/>
              </w:rPr>
              <w:t xml:space="preserve">        47,662 </w:t>
            </w:r>
          </w:p>
        </w:tc>
        <w:tc>
          <w:tcPr>
            <w:tcW w:w="1272" w:type="dxa"/>
            <w:tcBorders>
              <w:top w:val="nil"/>
              <w:left w:val="nil"/>
              <w:bottom w:val="single" w:sz="4" w:space="0" w:color="auto"/>
              <w:right w:val="single" w:sz="4" w:space="0" w:color="auto"/>
            </w:tcBorders>
            <w:shd w:val="clear" w:color="auto" w:fill="auto"/>
            <w:noWrap/>
            <w:vAlign w:val="center"/>
          </w:tcPr>
          <w:p w14:paraId="6456D789" w14:textId="382FCA71" w:rsidR="000D3E7D" w:rsidRPr="006E028D" w:rsidRDefault="000D3E7D" w:rsidP="110985B9">
            <w:pPr>
              <w:spacing w:after="0"/>
              <w:jc w:val="right"/>
              <w:rPr>
                <w:rFonts w:cs="Arial"/>
                <w:color w:val="000000"/>
              </w:rPr>
            </w:pPr>
            <w:r w:rsidRPr="0082290B">
              <w:rPr>
                <w:rFonts w:cs="Arial"/>
                <w:color w:val="000000" w:themeColor="text1"/>
              </w:rPr>
              <w:t xml:space="preserve">51,582 </w:t>
            </w:r>
          </w:p>
        </w:tc>
        <w:tc>
          <w:tcPr>
            <w:tcW w:w="1276" w:type="dxa"/>
            <w:tcBorders>
              <w:top w:val="nil"/>
              <w:left w:val="nil"/>
              <w:bottom w:val="single" w:sz="4" w:space="0" w:color="auto"/>
              <w:right w:val="single" w:sz="4" w:space="0" w:color="auto"/>
            </w:tcBorders>
            <w:shd w:val="clear" w:color="auto" w:fill="auto"/>
            <w:noWrap/>
            <w:vAlign w:val="center"/>
          </w:tcPr>
          <w:p w14:paraId="098728D4" w14:textId="3C6AE7D6" w:rsidR="000D3E7D" w:rsidRPr="006E028D" w:rsidRDefault="000D3E7D" w:rsidP="110985B9">
            <w:pPr>
              <w:spacing w:after="0"/>
              <w:jc w:val="right"/>
              <w:rPr>
                <w:rFonts w:cs="Arial"/>
                <w:color w:val="000000"/>
              </w:rPr>
            </w:pPr>
            <w:r w:rsidRPr="0082290B">
              <w:rPr>
                <w:rFonts w:cs="Arial"/>
                <w:color w:val="000000" w:themeColor="text1"/>
              </w:rPr>
              <w:t xml:space="preserve">18,255 </w:t>
            </w:r>
          </w:p>
        </w:tc>
        <w:tc>
          <w:tcPr>
            <w:tcW w:w="1477" w:type="dxa"/>
            <w:tcBorders>
              <w:top w:val="nil"/>
              <w:left w:val="nil"/>
              <w:bottom w:val="single" w:sz="4" w:space="0" w:color="auto"/>
              <w:right w:val="single" w:sz="4" w:space="0" w:color="auto"/>
            </w:tcBorders>
            <w:shd w:val="clear" w:color="auto" w:fill="auto"/>
            <w:noWrap/>
            <w:vAlign w:val="center"/>
          </w:tcPr>
          <w:p w14:paraId="1230BAEC" w14:textId="1FD8041C" w:rsidR="000D3E7D" w:rsidRPr="006E028D" w:rsidRDefault="000D3E7D" w:rsidP="110985B9">
            <w:pPr>
              <w:spacing w:after="0"/>
              <w:jc w:val="right"/>
              <w:rPr>
                <w:rFonts w:cs="Arial"/>
                <w:color w:val="000000"/>
              </w:rPr>
            </w:pPr>
            <w:r w:rsidRPr="0082290B">
              <w:rPr>
                <w:rFonts w:cs="Arial"/>
                <w:color w:val="000000" w:themeColor="text1"/>
              </w:rPr>
              <w:t>9.4%</w:t>
            </w:r>
          </w:p>
        </w:tc>
      </w:tr>
      <w:tr w:rsidR="000D3E7D" w:rsidRPr="00537E40" w14:paraId="6097E693"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0A7709BB" w14:textId="5A0B31C6" w:rsidR="000D3E7D" w:rsidRDefault="000D3E7D" w:rsidP="110985B9">
            <w:pPr>
              <w:spacing w:after="0" w:line="240" w:lineRule="auto"/>
              <w:rPr>
                <w:rFonts w:cs="Arial"/>
                <w:b/>
                <w:bCs/>
                <w:color w:val="000000"/>
              </w:rPr>
            </w:pPr>
            <w:r w:rsidRPr="0082290B">
              <w:rPr>
                <w:rFonts w:cs="Arial"/>
                <w:b/>
                <w:bCs/>
                <w:color w:val="000000" w:themeColor="text1"/>
              </w:rPr>
              <w:t>Finance and insurance</w:t>
            </w:r>
          </w:p>
        </w:tc>
        <w:tc>
          <w:tcPr>
            <w:tcW w:w="1304" w:type="dxa"/>
            <w:tcBorders>
              <w:top w:val="nil"/>
              <w:left w:val="nil"/>
              <w:bottom w:val="single" w:sz="4" w:space="0" w:color="auto"/>
              <w:right w:val="single" w:sz="4" w:space="0" w:color="auto"/>
            </w:tcBorders>
            <w:shd w:val="clear" w:color="auto" w:fill="auto"/>
            <w:noWrap/>
            <w:vAlign w:val="center"/>
          </w:tcPr>
          <w:p w14:paraId="5CFAC7CF" w14:textId="1EFD5F40" w:rsidR="000D3E7D" w:rsidRPr="006E028D" w:rsidRDefault="000D3E7D" w:rsidP="110985B9">
            <w:pPr>
              <w:spacing w:after="0"/>
              <w:jc w:val="right"/>
              <w:rPr>
                <w:rFonts w:cs="Arial"/>
                <w:color w:val="000000"/>
              </w:rPr>
            </w:pPr>
            <w:r w:rsidRPr="0082290B">
              <w:rPr>
                <w:rFonts w:cs="Arial"/>
                <w:color w:val="000000" w:themeColor="text1"/>
              </w:rPr>
              <w:t xml:space="preserve">      63,964 </w:t>
            </w:r>
          </w:p>
        </w:tc>
        <w:tc>
          <w:tcPr>
            <w:tcW w:w="1304" w:type="dxa"/>
            <w:tcBorders>
              <w:top w:val="nil"/>
              <w:left w:val="nil"/>
              <w:bottom w:val="single" w:sz="4" w:space="0" w:color="auto"/>
              <w:right w:val="single" w:sz="4" w:space="0" w:color="auto"/>
            </w:tcBorders>
            <w:shd w:val="clear" w:color="auto" w:fill="auto"/>
            <w:noWrap/>
            <w:vAlign w:val="center"/>
          </w:tcPr>
          <w:p w14:paraId="3F684A0F" w14:textId="09864ACD" w:rsidR="000D3E7D" w:rsidRPr="006E028D" w:rsidRDefault="000D3E7D" w:rsidP="110985B9">
            <w:pPr>
              <w:spacing w:after="0"/>
              <w:jc w:val="right"/>
              <w:rPr>
                <w:rFonts w:cs="Arial"/>
                <w:color w:val="000000"/>
              </w:rPr>
            </w:pPr>
            <w:r w:rsidRPr="0082290B">
              <w:rPr>
                <w:rFonts w:cs="Arial"/>
                <w:color w:val="000000" w:themeColor="text1"/>
              </w:rPr>
              <w:t xml:space="preserve">        73,609 </w:t>
            </w:r>
          </w:p>
        </w:tc>
        <w:tc>
          <w:tcPr>
            <w:tcW w:w="1272" w:type="dxa"/>
            <w:tcBorders>
              <w:top w:val="nil"/>
              <w:left w:val="nil"/>
              <w:bottom w:val="single" w:sz="4" w:space="0" w:color="auto"/>
              <w:right w:val="single" w:sz="4" w:space="0" w:color="auto"/>
            </w:tcBorders>
            <w:shd w:val="clear" w:color="auto" w:fill="auto"/>
            <w:noWrap/>
            <w:vAlign w:val="center"/>
          </w:tcPr>
          <w:p w14:paraId="183B38FC" w14:textId="1F4A66E4" w:rsidR="000D3E7D" w:rsidRPr="006E028D" w:rsidRDefault="000D3E7D" w:rsidP="110985B9">
            <w:pPr>
              <w:spacing w:after="0"/>
              <w:jc w:val="right"/>
              <w:rPr>
                <w:rFonts w:cs="Arial"/>
                <w:color w:val="000000"/>
              </w:rPr>
            </w:pPr>
            <w:r w:rsidRPr="0082290B">
              <w:rPr>
                <w:rFonts w:cs="Arial"/>
                <w:color w:val="000000" w:themeColor="text1"/>
              </w:rPr>
              <w:t xml:space="preserve">80,029 </w:t>
            </w:r>
          </w:p>
        </w:tc>
        <w:tc>
          <w:tcPr>
            <w:tcW w:w="1276" w:type="dxa"/>
            <w:tcBorders>
              <w:top w:val="nil"/>
              <w:left w:val="nil"/>
              <w:bottom w:val="single" w:sz="4" w:space="0" w:color="auto"/>
              <w:right w:val="single" w:sz="4" w:space="0" w:color="auto"/>
            </w:tcBorders>
            <w:shd w:val="clear" w:color="auto" w:fill="auto"/>
            <w:noWrap/>
            <w:vAlign w:val="center"/>
          </w:tcPr>
          <w:p w14:paraId="134B77AE" w14:textId="21EE4983" w:rsidR="000D3E7D" w:rsidRPr="006E028D" w:rsidRDefault="000D3E7D" w:rsidP="110985B9">
            <w:pPr>
              <w:spacing w:after="0"/>
              <w:jc w:val="right"/>
              <w:rPr>
                <w:rFonts w:cs="Arial"/>
                <w:color w:val="000000"/>
              </w:rPr>
            </w:pPr>
            <w:r w:rsidRPr="0082290B">
              <w:rPr>
                <w:rFonts w:cs="Arial"/>
                <w:color w:val="000000" w:themeColor="text1"/>
              </w:rPr>
              <w:t xml:space="preserve">16,065 </w:t>
            </w:r>
          </w:p>
        </w:tc>
        <w:tc>
          <w:tcPr>
            <w:tcW w:w="1477" w:type="dxa"/>
            <w:tcBorders>
              <w:top w:val="nil"/>
              <w:left w:val="nil"/>
              <w:bottom w:val="single" w:sz="4" w:space="0" w:color="auto"/>
              <w:right w:val="single" w:sz="4" w:space="0" w:color="auto"/>
            </w:tcBorders>
            <w:shd w:val="clear" w:color="auto" w:fill="auto"/>
            <w:noWrap/>
            <w:vAlign w:val="center"/>
          </w:tcPr>
          <w:p w14:paraId="25C4F40B" w14:textId="22D74A96" w:rsidR="000D3E7D" w:rsidRPr="006E028D" w:rsidRDefault="000D3E7D" w:rsidP="110985B9">
            <w:pPr>
              <w:spacing w:after="0"/>
              <w:jc w:val="right"/>
              <w:rPr>
                <w:rFonts w:cs="Arial"/>
                <w:color w:val="000000"/>
              </w:rPr>
            </w:pPr>
            <w:r w:rsidRPr="0082290B">
              <w:rPr>
                <w:rFonts w:cs="Arial"/>
                <w:color w:val="000000" w:themeColor="text1"/>
              </w:rPr>
              <w:t>8.3%</w:t>
            </w:r>
          </w:p>
        </w:tc>
      </w:tr>
      <w:tr w:rsidR="000D3E7D" w:rsidRPr="00537E40" w14:paraId="25FA83AE"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3AE1D448" w14:textId="74565DBA" w:rsidR="000D3E7D" w:rsidRDefault="000D3E7D" w:rsidP="110985B9">
            <w:pPr>
              <w:spacing w:after="0" w:line="240" w:lineRule="auto"/>
              <w:rPr>
                <w:rFonts w:cs="Arial"/>
                <w:b/>
                <w:bCs/>
                <w:color w:val="000000"/>
              </w:rPr>
            </w:pPr>
            <w:r w:rsidRPr="0082290B">
              <w:rPr>
                <w:rFonts w:cs="Arial"/>
                <w:b/>
                <w:bCs/>
                <w:color w:val="000000" w:themeColor="text1"/>
              </w:rPr>
              <w:t>Retail trade</w:t>
            </w:r>
          </w:p>
        </w:tc>
        <w:tc>
          <w:tcPr>
            <w:tcW w:w="1304" w:type="dxa"/>
            <w:tcBorders>
              <w:top w:val="nil"/>
              <w:left w:val="nil"/>
              <w:bottom w:val="single" w:sz="4" w:space="0" w:color="auto"/>
              <w:right w:val="single" w:sz="4" w:space="0" w:color="auto"/>
            </w:tcBorders>
            <w:shd w:val="clear" w:color="auto" w:fill="auto"/>
            <w:noWrap/>
            <w:vAlign w:val="center"/>
          </w:tcPr>
          <w:p w14:paraId="57E61C2A" w14:textId="3823962A" w:rsidR="000D3E7D" w:rsidRPr="006E028D" w:rsidRDefault="000D3E7D" w:rsidP="110985B9">
            <w:pPr>
              <w:spacing w:after="0"/>
              <w:jc w:val="right"/>
              <w:rPr>
                <w:rFonts w:cs="Arial"/>
                <w:color w:val="000000"/>
              </w:rPr>
            </w:pPr>
            <w:r w:rsidRPr="0082290B">
              <w:rPr>
                <w:rFonts w:cs="Arial"/>
                <w:color w:val="000000" w:themeColor="text1"/>
              </w:rPr>
              <w:t xml:space="preserve">      17,200 </w:t>
            </w:r>
          </w:p>
        </w:tc>
        <w:tc>
          <w:tcPr>
            <w:tcW w:w="1304" w:type="dxa"/>
            <w:tcBorders>
              <w:top w:val="nil"/>
              <w:left w:val="nil"/>
              <w:bottom w:val="single" w:sz="4" w:space="0" w:color="auto"/>
              <w:right w:val="single" w:sz="4" w:space="0" w:color="auto"/>
            </w:tcBorders>
            <w:shd w:val="clear" w:color="auto" w:fill="auto"/>
            <w:noWrap/>
            <w:vAlign w:val="center"/>
          </w:tcPr>
          <w:p w14:paraId="04A01C1A" w14:textId="152284E0" w:rsidR="000D3E7D" w:rsidRPr="006E028D" w:rsidRDefault="000D3E7D" w:rsidP="110985B9">
            <w:pPr>
              <w:spacing w:after="0"/>
              <w:jc w:val="right"/>
              <w:rPr>
                <w:rFonts w:cs="Arial"/>
                <w:color w:val="000000"/>
              </w:rPr>
            </w:pPr>
            <w:r w:rsidRPr="0082290B">
              <w:rPr>
                <w:rFonts w:cs="Arial"/>
                <w:color w:val="000000" w:themeColor="text1"/>
              </w:rPr>
              <w:t xml:space="preserve">        22,674 </w:t>
            </w:r>
          </w:p>
        </w:tc>
        <w:tc>
          <w:tcPr>
            <w:tcW w:w="1272" w:type="dxa"/>
            <w:tcBorders>
              <w:top w:val="nil"/>
              <w:left w:val="nil"/>
              <w:bottom w:val="single" w:sz="4" w:space="0" w:color="auto"/>
              <w:right w:val="single" w:sz="4" w:space="0" w:color="auto"/>
            </w:tcBorders>
            <w:shd w:val="clear" w:color="auto" w:fill="auto"/>
            <w:noWrap/>
            <w:vAlign w:val="center"/>
          </w:tcPr>
          <w:p w14:paraId="39883E76" w14:textId="3FE82283" w:rsidR="000D3E7D" w:rsidRPr="006E028D" w:rsidRDefault="000D3E7D" w:rsidP="110985B9">
            <w:pPr>
              <w:spacing w:after="0"/>
              <w:jc w:val="right"/>
              <w:rPr>
                <w:rFonts w:cs="Arial"/>
                <w:color w:val="000000"/>
              </w:rPr>
            </w:pPr>
            <w:r w:rsidRPr="0082290B">
              <w:rPr>
                <w:rFonts w:cs="Arial"/>
                <w:color w:val="000000" w:themeColor="text1"/>
              </w:rPr>
              <w:t xml:space="preserve">29,782 </w:t>
            </w:r>
          </w:p>
        </w:tc>
        <w:tc>
          <w:tcPr>
            <w:tcW w:w="1276" w:type="dxa"/>
            <w:tcBorders>
              <w:top w:val="nil"/>
              <w:left w:val="nil"/>
              <w:bottom w:val="single" w:sz="4" w:space="0" w:color="auto"/>
              <w:right w:val="single" w:sz="4" w:space="0" w:color="auto"/>
            </w:tcBorders>
            <w:shd w:val="clear" w:color="auto" w:fill="auto"/>
            <w:noWrap/>
            <w:vAlign w:val="center"/>
          </w:tcPr>
          <w:p w14:paraId="36C2498D" w14:textId="74D33066" w:rsidR="000D3E7D" w:rsidRPr="006E028D" w:rsidRDefault="000D3E7D" w:rsidP="110985B9">
            <w:pPr>
              <w:spacing w:after="0"/>
              <w:jc w:val="right"/>
              <w:rPr>
                <w:rFonts w:cs="Arial"/>
                <w:color w:val="000000"/>
              </w:rPr>
            </w:pPr>
            <w:r w:rsidRPr="0082290B">
              <w:rPr>
                <w:rFonts w:cs="Arial"/>
                <w:color w:val="000000" w:themeColor="text1"/>
              </w:rPr>
              <w:t xml:space="preserve">12,582 </w:t>
            </w:r>
          </w:p>
        </w:tc>
        <w:tc>
          <w:tcPr>
            <w:tcW w:w="1477" w:type="dxa"/>
            <w:tcBorders>
              <w:top w:val="nil"/>
              <w:left w:val="nil"/>
              <w:bottom w:val="single" w:sz="4" w:space="0" w:color="auto"/>
              <w:right w:val="single" w:sz="4" w:space="0" w:color="auto"/>
            </w:tcBorders>
            <w:shd w:val="clear" w:color="auto" w:fill="auto"/>
            <w:noWrap/>
            <w:vAlign w:val="center"/>
          </w:tcPr>
          <w:p w14:paraId="15FAD907" w14:textId="1A239514" w:rsidR="000D3E7D" w:rsidRPr="006E028D" w:rsidRDefault="000D3E7D" w:rsidP="110985B9">
            <w:pPr>
              <w:spacing w:after="0"/>
              <w:jc w:val="right"/>
              <w:rPr>
                <w:rFonts w:cs="Arial"/>
                <w:color w:val="000000"/>
              </w:rPr>
            </w:pPr>
            <w:r w:rsidRPr="0082290B">
              <w:rPr>
                <w:rFonts w:cs="Arial"/>
                <w:color w:val="000000" w:themeColor="text1"/>
              </w:rPr>
              <w:t>6.5%</w:t>
            </w:r>
          </w:p>
        </w:tc>
      </w:tr>
      <w:tr w:rsidR="000D3E7D" w:rsidRPr="00537E40" w14:paraId="610D609A"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504EEC73" w14:textId="003801BE" w:rsidR="000D3E7D" w:rsidRDefault="000D3E7D" w:rsidP="110985B9">
            <w:pPr>
              <w:spacing w:after="0" w:line="240" w:lineRule="auto"/>
              <w:rPr>
                <w:rFonts w:cs="Arial"/>
                <w:b/>
                <w:bCs/>
                <w:color w:val="000000"/>
              </w:rPr>
            </w:pPr>
            <w:r w:rsidRPr="0082290B">
              <w:rPr>
                <w:rFonts w:cs="Arial"/>
                <w:b/>
                <w:bCs/>
                <w:color w:val="000000" w:themeColor="text1"/>
              </w:rPr>
              <w:t>Public administration and safety</w:t>
            </w:r>
          </w:p>
        </w:tc>
        <w:tc>
          <w:tcPr>
            <w:tcW w:w="1304" w:type="dxa"/>
            <w:tcBorders>
              <w:top w:val="nil"/>
              <w:left w:val="nil"/>
              <w:bottom w:val="single" w:sz="4" w:space="0" w:color="auto"/>
              <w:right w:val="single" w:sz="4" w:space="0" w:color="auto"/>
            </w:tcBorders>
            <w:shd w:val="clear" w:color="auto" w:fill="auto"/>
            <w:noWrap/>
            <w:vAlign w:val="center"/>
          </w:tcPr>
          <w:p w14:paraId="2866717D" w14:textId="544098AC" w:rsidR="000D3E7D" w:rsidRPr="006E028D" w:rsidRDefault="000D3E7D" w:rsidP="110985B9">
            <w:pPr>
              <w:spacing w:after="0"/>
              <w:jc w:val="right"/>
              <w:rPr>
                <w:rFonts w:cs="Arial"/>
                <w:color w:val="000000"/>
              </w:rPr>
            </w:pPr>
            <w:r w:rsidRPr="0082290B">
              <w:rPr>
                <w:rFonts w:cs="Arial"/>
                <w:color w:val="000000" w:themeColor="text1"/>
              </w:rPr>
              <w:t xml:space="preserve">      46,971 </w:t>
            </w:r>
          </w:p>
        </w:tc>
        <w:tc>
          <w:tcPr>
            <w:tcW w:w="1304" w:type="dxa"/>
            <w:tcBorders>
              <w:top w:val="nil"/>
              <w:left w:val="nil"/>
              <w:bottom w:val="single" w:sz="4" w:space="0" w:color="auto"/>
              <w:right w:val="single" w:sz="4" w:space="0" w:color="auto"/>
            </w:tcBorders>
            <w:shd w:val="clear" w:color="auto" w:fill="auto"/>
            <w:noWrap/>
            <w:vAlign w:val="center"/>
          </w:tcPr>
          <w:p w14:paraId="3B2E1FB6" w14:textId="40F5498A" w:rsidR="000D3E7D" w:rsidRPr="006E028D" w:rsidRDefault="000D3E7D" w:rsidP="110985B9">
            <w:pPr>
              <w:spacing w:after="0"/>
              <w:jc w:val="right"/>
              <w:rPr>
                <w:rFonts w:cs="Arial"/>
                <w:color w:val="000000"/>
              </w:rPr>
            </w:pPr>
            <w:r w:rsidRPr="0082290B">
              <w:rPr>
                <w:rFonts w:cs="Arial"/>
                <w:color w:val="000000" w:themeColor="text1"/>
              </w:rPr>
              <w:t xml:space="preserve">        53,956 </w:t>
            </w:r>
          </w:p>
        </w:tc>
        <w:tc>
          <w:tcPr>
            <w:tcW w:w="1272" w:type="dxa"/>
            <w:tcBorders>
              <w:top w:val="nil"/>
              <w:left w:val="nil"/>
              <w:bottom w:val="single" w:sz="4" w:space="0" w:color="auto"/>
              <w:right w:val="single" w:sz="4" w:space="0" w:color="auto"/>
            </w:tcBorders>
            <w:shd w:val="clear" w:color="auto" w:fill="auto"/>
            <w:noWrap/>
            <w:vAlign w:val="center"/>
          </w:tcPr>
          <w:p w14:paraId="189FB4B8" w14:textId="73D77DD1" w:rsidR="000D3E7D" w:rsidRPr="006E028D" w:rsidRDefault="000D3E7D" w:rsidP="110985B9">
            <w:pPr>
              <w:spacing w:after="0"/>
              <w:jc w:val="right"/>
              <w:rPr>
                <w:rFonts w:cs="Arial"/>
                <w:color w:val="000000"/>
              </w:rPr>
            </w:pPr>
            <w:r w:rsidRPr="0082290B">
              <w:rPr>
                <w:rFonts w:cs="Arial"/>
                <w:color w:val="000000" w:themeColor="text1"/>
              </w:rPr>
              <w:t xml:space="preserve">56,714 </w:t>
            </w:r>
          </w:p>
        </w:tc>
        <w:tc>
          <w:tcPr>
            <w:tcW w:w="1276" w:type="dxa"/>
            <w:tcBorders>
              <w:top w:val="nil"/>
              <w:left w:val="nil"/>
              <w:bottom w:val="single" w:sz="4" w:space="0" w:color="auto"/>
              <w:right w:val="single" w:sz="4" w:space="0" w:color="auto"/>
            </w:tcBorders>
            <w:shd w:val="clear" w:color="auto" w:fill="auto"/>
            <w:noWrap/>
            <w:vAlign w:val="center"/>
          </w:tcPr>
          <w:p w14:paraId="04CA5672" w14:textId="65490C99" w:rsidR="000D3E7D" w:rsidRPr="006E028D" w:rsidRDefault="000D3E7D" w:rsidP="110985B9">
            <w:pPr>
              <w:spacing w:after="0"/>
              <w:jc w:val="right"/>
              <w:rPr>
                <w:rFonts w:cs="Arial"/>
                <w:color w:val="000000"/>
              </w:rPr>
            </w:pPr>
            <w:r w:rsidRPr="0082290B">
              <w:rPr>
                <w:rFonts w:cs="Arial"/>
                <w:color w:val="000000" w:themeColor="text1"/>
              </w:rPr>
              <w:t xml:space="preserve">9,743 </w:t>
            </w:r>
          </w:p>
        </w:tc>
        <w:tc>
          <w:tcPr>
            <w:tcW w:w="1477" w:type="dxa"/>
            <w:tcBorders>
              <w:top w:val="nil"/>
              <w:left w:val="nil"/>
              <w:bottom w:val="single" w:sz="4" w:space="0" w:color="auto"/>
              <w:right w:val="single" w:sz="4" w:space="0" w:color="auto"/>
            </w:tcBorders>
            <w:shd w:val="clear" w:color="auto" w:fill="auto"/>
            <w:noWrap/>
            <w:vAlign w:val="center"/>
          </w:tcPr>
          <w:p w14:paraId="2E1A4350" w14:textId="6E677597" w:rsidR="000D3E7D" w:rsidRPr="006E028D" w:rsidRDefault="000D3E7D" w:rsidP="110985B9">
            <w:pPr>
              <w:spacing w:after="0"/>
              <w:jc w:val="right"/>
              <w:rPr>
                <w:rFonts w:cs="Arial"/>
                <w:color w:val="000000"/>
              </w:rPr>
            </w:pPr>
            <w:r w:rsidRPr="0082290B">
              <w:rPr>
                <w:rFonts w:cs="Arial"/>
                <w:color w:val="000000" w:themeColor="text1"/>
              </w:rPr>
              <w:t>5.0%</w:t>
            </w:r>
          </w:p>
        </w:tc>
      </w:tr>
      <w:tr w:rsidR="000D3E7D" w:rsidRPr="00537E40" w14:paraId="4A228E6B"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30C68A27" w14:textId="0055B4B9" w:rsidR="000D3E7D" w:rsidRDefault="000D3E7D" w:rsidP="110985B9">
            <w:pPr>
              <w:spacing w:after="0" w:line="240" w:lineRule="auto"/>
              <w:rPr>
                <w:rFonts w:cs="Arial"/>
                <w:b/>
                <w:bCs/>
                <w:color w:val="000000"/>
              </w:rPr>
            </w:pPr>
            <w:r w:rsidRPr="0082290B">
              <w:rPr>
                <w:rFonts w:cs="Arial"/>
                <w:b/>
                <w:bCs/>
                <w:color w:val="000000" w:themeColor="text1"/>
              </w:rPr>
              <w:t>Arts and recreation services</w:t>
            </w:r>
          </w:p>
        </w:tc>
        <w:tc>
          <w:tcPr>
            <w:tcW w:w="1304" w:type="dxa"/>
            <w:tcBorders>
              <w:top w:val="nil"/>
              <w:left w:val="nil"/>
              <w:bottom w:val="single" w:sz="4" w:space="0" w:color="auto"/>
              <w:right w:val="single" w:sz="4" w:space="0" w:color="auto"/>
            </w:tcBorders>
            <w:shd w:val="clear" w:color="auto" w:fill="auto"/>
            <w:noWrap/>
            <w:vAlign w:val="center"/>
          </w:tcPr>
          <w:p w14:paraId="21972EF7" w14:textId="0A0314B4" w:rsidR="000D3E7D" w:rsidRPr="006E028D" w:rsidRDefault="000D3E7D" w:rsidP="110985B9">
            <w:pPr>
              <w:spacing w:after="0"/>
              <w:jc w:val="right"/>
              <w:rPr>
                <w:rFonts w:cs="Arial"/>
                <w:color w:val="000000"/>
              </w:rPr>
            </w:pPr>
            <w:r w:rsidRPr="0082290B">
              <w:rPr>
                <w:rFonts w:cs="Arial"/>
                <w:color w:val="000000" w:themeColor="text1"/>
              </w:rPr>
              <w:t xml:space="preserve">      25,840 </w:t>
            </w:r>
          </w:p>
        </w:tc>
        <w:tc>
          <w:tcPr>
            <w:tcW w:w="1304" w:type="dxa"/>
            <w:tcBorders>
              <w:top w:val="nil"/>
              <w:left w:val="nil"/>
              <w:bottom w:val="single" w:sz="4" w:space="0" w:color="auto"/>
              <w:right w:val="single" w:sz="4" w:space="0" w:color="auto"/>
            </w:tcBorders>
            <w:shd w:val="clear" w:color="auto" w:fill="auto"/>
            <w:noWrap/>
            <w:vAlign w:val="center"/>
          </w:tcPr>
          <w:p w14:paraId="381E4C39" w14:textId="58D7FEE5" w:rsidR="000D3E7D" w:rsidRPr="006E028D" w:rsidRDefault="000D3E7D" w:rsidP="110985B9">
            <w:pPr>
              <w:spacing w:after="0"/>
              <w:jc w:val="right"/>
              <w:rPr>
                <w:rFonts w:cs="Arial"/>
                <w:color w:val="000000"/>
              </w:rPr>
            </w:pPr>
            <w:r w:rsidRPr="0082290B">
              <w:rPr>
                <w:rFonts w:cs="Arial"/>
                <w:color w:val="000000" w:themeColor="text1"/>
              </w:rPr>
              <w:t xml:space="preserve">        29,507 </w:t>
            </w:r>
          </w:p>
        </w:tc>
        <w:tc>
          <w:tcPr>
            <w:tcW w:w="1272" w:type="dxa"/>
            <w:tcBorders>
              <w:top w:val="nil"/>
              <w:left w:val="nil"/>
              <w:bottom w:val="single" w:sz="4" w:space="0" w:color="auto"/>
              <w:right w:val="single" w:sz="4" w:space="0" w:color="auto"/>
            </w:tcBorders>
            <w:shd w:val="clear" w:color="auto" w:fill="auto"/>
            <w:noWrap/>
            <w:vAlign w:val="center"/>
          </w:tcPr>
          <w:p w14:paraId="00B05E9A" w14:textId="77F33745" w:rsidR="000D3E7D" w:rsidRPr="006E028D" w:rsidRDefault="000D3E7D" w:rsidP="110985B9">
            <w:pPr>
              <w:spacing w:after="0"/>
              <w:jc w:val="right"/>
              <w:rPr>
                <w:rFonts w:cs="Arial"/>
                <w:color w:val="000000"/>
              </w:rPr>
            </w:pPr>
            <w:r w:rsidRPr="0082290B">
              <w:rPr>
                <w:rFonts w:cs="Arial"/>
                <w:color w:val="000000" w:themeColor="text1"/>
              </w:rPr>
              <w:t xml:space="preserve">34,740 </w:t>
            </w:r>
          </w:p>
        </w:tc>
        <w:tc>
          <w:tcPr>
            <w:tcW w:w="1276" w:type="dxa"/>
            <w:tcBorders>
              <w:top w:val="nil"/>
              <w:left w:val="nil"/>
              <w:bottom w:val="single" w:sz="4" w:space="0" w:color="auto"/>
              <w:right w:val="single" w:sz="4" w:space="0" w:color="auto"/>
            </w:tcBorders>
            <w:shd w:val="clear" w:color="auto" w:fill="auto"/>
            <w:noWrap/>
            <w:vAlign w:val="center"/>
          </w:tcPr>
          <w:p w14:paraId="7E21DBA7" w14:textId="4CC159D0" w:rsidR="000D3E7D" w:rsidRPr="006E028D" w:rsidRDefault="000D3E7D" w:rsidP="110985B9">
            <w:pPr>
              <w:spacing w:after="0"/>
              <w:jc w:val="right"/>
              <w:rPr>
                <w:rFonts w:cs="Arial"/>
                <w:color w:val="000000"/>
              </w:rPr>
            </w:pPr>
            <w:r w:rsidRPr="0082290B">
              <w:rPr>
                <w:rFonts w:cs="Arial"/>
                <w:color w:val="000000" w:themeColor="text1"/>
              </w:rPr>
              <w:t xml:space="preserve">8,900 </w:t>
            </w:r>
          </w:p>
        </w:tc>
        <w:tc>
          <w:tcPr>
            <w:tcW w:w="1477" w:type="dxa"/>
            <w:tcBorders>
              <w:top w:val="nil"/>
              <w:left w:val="nil"/>
              <w:bottom w:val="single" w:sz="4" w:space="0" w:color="auto"/>
              <w:right w:val="single" w:sz="4" w:space="0" w:color="auto"/>
            </w:tcBorders>
            <w:shd w:val="clear" w:color="auto" w:fill="auto"/>
            <w:noWrap/>
            <w:vAlign w:val="center"/>
          </w:tcPr>
          <w:p w14:paraId="31F6F0DD" w14:textId="7D8C79D5" w:rsidR="000D3E7D" w:rsidRPr="006E028D" w:rsidRDefault="000D3E7D" w:rsidP="110985B9">
            <w:pPr>
              <w:spacing w:after="0"/>
              <w:jc w:val="right"/>
              <w:rPr>
                <w:rFonts w:cs="Arial"/>
                <w:color w:val="000000"/>
              </w:rPr>
            </w:pPr>
            <w:r w:rsidRPr="0082290B">
              <w:rPr>
                <w:rFonts w:cs="Arial"/>
                <w:color w:val="000000" w:themeColor="text1"/>
              </w:rPr>
              <w:t>4.6%</w:t>
            </w:r>
          </w:p>
        </w:tc>
      </w:tr>
      <w:tr w:rsidR="000D3E7D" w:rsidRPr="00537E40" w14:paraId="4F239E82"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4ED0F9C6" w14:textId="4D55AFEE" w:rsidR="000D3E7D" w:rsidRDefault="000D3E7D" w:rsidP="110985B9">
            <w:pPr>
              <w:spacing w:after="0" w:line="240" w:lineRule="auto"/>
              <w:rPr>
                <w:rFonts w:cs="Arial"/>
                <w:b/>
                <w:bCs/>
                <w:color w:val="000000"/>
              </w:rPr>
            </w:pPr>
            <w:r w:rsidRPr="0082290B">
              <w:rPr>
                <w:rFonts w:cs="Arial"/>
                <w:b/>
                <w:bCs/>
                <w:color w:val="000000" w:themeColor="text1"/>
              </w:rPr>
              <w:t>Admin and support services</w:t>
            </w:r>
          </w:p>
        </w:tc>
        <w:tc>
          <w:tcPr>
            <w:tcW w:w="1304" w:type="dxa"/>
            <w:tcBorders>
              <w:top w:val="nil"/>
              <w:left w:val="nil"/>
              <w:bottom w:val="single" w:sz="4" w:space="0" w:color="auto"/>
              <w:right w:val="single" w:sz="4" w:space="0" w:color="auto"/>
            </w:tcBorders>
            <w:shd w:val="clear" w:color="auto" w:fill="auto"/>
            <w:noWrap/>
            <w:vAlign w:val="center"/>
          </w:tcPr>
          <w:p w14:paraId="4777C5C6" w14:textId="7121023A" w:rsidR="000D3E7D" w:rsidRPr="006E028D" w:rsidRDefault="000D3E7D" w:rsidP="110985B9">
            <w:pPr>
              <w:spacing w:after="0"/>
              <w:jc w:val="right"/>
              <w:rPr>
                <w:rFonts w:cs="Arial"/>
                <w:color w:val="000000"/>
              </w:rPr>
            </w:pPr>
            <w:r w:rsidRPr="0082290B">
              <w:rPr>
                <w:rFonts w:cs="Arial"/>
                <w:color w:val="000000" w:themeColor="text1"/>
              </w:rPr>
              <w:t xml:space="preserve">    15,813 </w:t>
            </w:r>
          </w:p>
        </w:tc>
        <w:tc>
          <w:tcPr>
            <w:tcW w:w="1304" w:type="dxa"/>
            <w:tcBorders>
              <w:top w:val="nil"/>
              <w:left w:val="nil"/>
              <w:bottom w:val="single" w:sz="4" w:space="0" w:color="auto"/>
              <w:right w:val="single" w:sz="4" w:space="0" w:color="auto"/>
            </w:tcBorders>
            <w:shd w:val="clear" w:color="auto" w:fill="auto"/>
            <w:noWrap/>
            <w:vAlign w:val="center"/>
          </w:tcPr>
          <w:p w14:paraId="4AD96613" w14:textId="7B0DD00E" w:rsidR="000D3E7D" w:rsidRPr="006E028D" w:rsidRDefault="000D3E7D" w:rsidP="110985B9">
            <w:pPr>
              <w:spacing w:after="0"/>
              <w:jc w:val="right"/>
              <w:rPr>
                <w:rFonts w:cs="Arial"/>
                <w:color w:val="000000"/>
              </w:rPr>
            </w:pPr>
            <w:r w:rsidRPr="0082290B">
              <w:rPr>
                <w:rFonts w:cs="Arial"/>
                <w:color w:val="000000" w:themeColor="text1"/>
              </w:rPr>
              <w:t xml:space="preserve">      19,698 </w:t>
            </w:r>
          </w:p>
        </w:tc>
        <w:tc>
          <w:tcPr>
            <w:tcW w:w="1272" w:type="dxa"/>
            <w:tcBorders>
              <w:top w:val="nil"/>
              <w:left w:val="nil"/>
              <w:bottom w:val="single" w:sz="4" w:space="0" w:color="auto"/>
              <w:right w:val="single" w:sz="4" w:space="0" w:color="auto"/>
            </w:tcBorders>
            <w:shd w:val="clear" w:color="auto" w:fill="auto"/>
            <w:noWrap/>
            <w:vAlign w:val="center"/>
          </w:tcPr>
          <w:p w14:paraId="5BF9E057" w14:textId="28C844AC" w:rsidR="000D3E7D" w:rsidRPr="006E028D" w:rsidRDefault="000D3E7D" w:rsidP="110985B9">
            <w:pPr>
              <w:spacing w:after="0"/>
              <w:jc w:val="right"/>
              <w:rPr>
                <w:rFonts w:cs="Arial"/>
                <w:color w:val="000000"/>
              </w:rPr>
            </w:pPr>
            <w:r w:rsidRPr="0082290B">
              <w:rPr>
                <w:rFonts w:cs="Arial"/>
                <w:color w:val="000000" w:themeColor="text1"/>
              </w:rPr>
              <w:t xml:space="preserve">      22,837 </w:t>
            </w:r>
          </w:p>
        </w:tc>
        <w:tc>
          <w:tcPr>
            <w:tcW w:w="1276" w:type="dxa"/>
            <w:tcBorders>
              <w:top w:val="nil"/>
              <w:left w:val="nil"/>
              <w:bottom w:val="single" w:sz="4" w:space="0" w:color="auto"/>
              <w:right w:val="single" w:sz="4" w:space="0" w:color="auto"/>
            </w:tcBorders>
            <w:shd w:val="clear" w:color="auto" w:fill="auto"/>
            <w:noWrap/>
            <w:vAlign w:val="center"/>
          </w:tcPr>
          <w:p w14:paraId="4049A270" w14:textId="0FE75165" w:rsidR="000D3E7D" w:rsidRPr="006E028D" w:rsidRDefault="000D3E7D" w:rsidP="110985B9">
            <w:pPr>
              <w:spacing w:after="0"/>
              <w:jc w:val="right"/>
              <w:rPr>
                <w:rFonts w:cs="Arial"/>
                <w:color w:val="000000"/>
              </w:rPr>
            </w:pPr>
            <w:r w:rsidRPr="0082290B">
              <w:rPr>
                <w:rFonts w:cs="Arial"/>
                <w:color w:val="000000" w:themeColor="text1"/>
              </w:rPr>
              <w:t xml:space="preserve">7,024 </w:t>
            </w:r>
          </w:p>
        </w:tc>
        <w:tc>
          <w:tcPr>
            <w:tcW w:w="1477" w:type="dxa"/>
            <w:tcBorders>
              <w:top w:val="nil"/>
              <w:left w:val="nil"/>
              <w:bottom w:val="single" w:sz="4" w:space="0" w:color="auto"/>
              <w:right w:val="single" w:sz="4" w:space="0" w:color="auto"/>
            </w:tcBorders>
            <w:shd w:val="clear" w:color="auto" w:fill="auto"/>
            <w:noWrap/>
            <w:vAlign w:val="center"/>
          </w:tcPr>
          <w:p w14:paraId="2C1F2C17" w14:textId="64486372" w:rsidR="000D3E7D" w:rsidRPr="006E028D" w:rsidRDefault="000D3E7D" w:rsidP="110985B9">
            <w:pPr>
              <w:spacing w:after="0"/>
              <w:jc w:val="right"/>
              <w:rPr>
                <w:rFonts w:cs="Arial"/>
                <w:color w:val="000000"/>
              </w:rPr>
            </w:pPr>
            <w:r w:rsidRPr="0082290B">
              <w:rPr>
                <w:rFonts w:cs="Arial"/>
                <w:color w:val="000000" w:themeColor="text1"/>
              </w:rPr>
              <w:t>3.6%</w:t>
            </w:r>
          </w:p>
        </w:tc>
      </w:tr>
      <w:tr w:rsidR="000D3E7D" w:rsidRPr="00537E40" w14:paraId="781A9E01"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435EAA38" w14:textId="0F60654A" w:rsidR="000D3E7D" w:rsidRDefault="000D3E7D" w:rsidP="110985B9">
            <w:pPr>
              <w:spacing w:after="0" w:line="240" w:lineRule="auto"/>
              <w:rPr>
                <w:rFonts w:cs="Arial"/>
                <w:b/>
                <w:bCs/>
                <w:color w:val="000000"/>
              </w:rPr>
            </w:pPr>
            <w:r w:rsidRPr="0082290B">
              <w:rPr>
                <w:rFonts w:cs="Arial"/>
                <w:b/>
                <w:bCs/>
                <w:color w:val="000000" w:themeColor="text1"/>
              </w:rPr>
              <w:t>Other services</w:t>
            </w:r>
          </w:p>
        </w:tc>
        <w:tc>
          <w:tcPr>
            <w:tcW w:w="1304" w:type="dxa"/>
            <w:tcBorders>
              <w:top w:val="nil"/>
              <w:left w:val="nil"/>
              <w:bottom w:val="single" w:sz="4" w:space="0" w:color="auto"/>
              <w:right w:val="single" w:sz="4" w:space="0" w:color="auto"/>
            </w:tcBorders>
            <w:shd w:val="clear" w:color="auto" w:fill="auto"/>
            <w:noWrap/>
            <w:vAlign w:val="center"/>
          </w:tcPr>
          <w:p w14:paraId="7249EDEB" w14:textId="0268DCF3" w:rsidR="000D3E7D" w:rsidRPr="006E028D" w:rsidRDefault="000D3E7D" w:rsidP="110985B9">
            <w:pPr>
              <w:spacing w:after="0"/>
              <w:jc w:val="right"/>
              <w:rPr>
                <w:rFonts w:cs="Arial"/>
                <w:color w:val="000000"/>
              </w:rPr>
            </w:pPr>
            <w:r w:rsidRPr="0082290B">
              <w:rPr>
                <w:rFonts w:cs="Arial"/>
                <w:color w:val="000000" w:themeColor="text1"/>
              </w:rPr>
              <w:t xml:space="preserve">      12,198 </w:t>
            </w:r>
          </w:p>
        </w:tc>
        <w:tc>
          <w:tcPr>
            <w:tcW w:w="1304" w:type="dxa"/>
            <w:tcBorders>
              <w:top w:val="nil"/>
              <w:left w:val="nil"/>
              <w:bottom w:val="single" w:sz="4" w:space="0" w:color="auto"/>
              <w:right w:val="single" w:sz="4" w:space="0" w:color="auto"/>
            </w:tcBorders>
            <w:shd w:val="clear" w:color="auto" w:fill="auto"/>
            <w:noWrap/>
            <w:vAlign w:val="center"/>
          </w:tcPr>
          <w:p w14:paraId="1EF1A5BC" w14:textId="7B21BD11" w:rsidR="000D3E7D" w:rsidRPr="006E028D" w:rsidRDefault="000D3E7D" w:rsidP="110985B9">
            <w:pPr>
              <w:spacing w:after="0"/>
              <w:jc w:val="right"/>
              <w:rPr>
                <w:rFonts w:cs="Arial"/>
                <w:color w:val="000000"/>
              </w:rPr>
            </w:pPr>
            <w:r w:rsidRPr="0082290B">
              <w:rPr>
                <w:rFonts w:cs="Arial"/>
                <w:color w:val="000000" w:themeColor="text1"/>
              </w:rPr>
              <w:t xml:space="preserve">15,007 </w:t>
            </w:r>
          </w:p>
        </w:tc>
        <w:tc>
          <w:tcPr>
            <w:tcW w:w="1272" w:type="dxa"/>
            <w:tcBorders>
              <w:top w:val="nil"/>
              <w:left w:val="nil"/>
              <w:bottom w:val="single" w:sz="4" w:space="0" w:color="auto"/>
              <w:right w:val="single" w:sz="4" w:space="0" w:color="auto"/>
            </w:tcBorders>
            <w:shd w:val="clear" w:color="auto" w:fill="auto"/>
            <w:noWrap/>
            <w:vAlign w:val="center"/>
          </w:tcPr>
          <w:p w14:paraId="33A5865A" w14:textId="448826D5" w:rsidR="000D3E7D" w:rsidRPr="006E028D" w:rsidRDefault="000D3E7D" w:rsidP="110985B9">
            <w:pPr>
              <w:spacing w:after="0"/>
              <w:jc w:val="right"/>
              <w:rPr>
                <w:rFonts w:cs="Arial"/>
                <w:color w:val="000000"/>
              </w:rPr>
            </w:pPr>
            <w:r w:rsidRPr="0082290B">
              <w:rPr>
                <w:rFonts w:cs="Arial"/>
                <w:color w:val="000000" w:themeColor="text1"/>
              </w:rPr>
              <w:t xml:space="preserve">16,555 </w:t>
            </w:r>
          </w:p>
        </w:tc>
        <w:tc>
          <w:tcPr>
            <w:tcW w:w="1276" w:type="dxa"/>
            <w:tcBorders>
              <w:top w:val="nil"/>
              <w:left w:val="nil"/>
              <w:bottom w:val="single" w:sz="4" w:space="0" w:color="auto"/>
              <w:right w:val="single" w:sz="4" w:space="0" w:color="auto"/>
            </w:tcBorders>
            <w:shd w:val="clear" w:color="auto" w:fill="auto"/>
            <w:noWrap/>
            <w:vAlign w:val="center"/>
          </w:tcPr>
          <w:p w14:paraId="76EC2F9C" w14:textId="0ADEF043" w:rsidR="000D3E7D" w:rsidRPr="006E028D" w:rsidRDefault="000D3E7D" w:rsidP="110985B9">
            <w:pPr>
              <w:spacing w:after="0"/>
              <w:jc w:val="right"/>
              <w:rPr>
                <w:rFonts w:cs="Arial"/>
                <w:color w:val="000000"/>
              </w:rPr>
            </w:pPr>
            <w:r w:rsidRPr="0082290B">
              <w:rPr>
                <w:rFonts w:cs="Arial"/>
                <w:color w:val="000000" w:themeColor="text1"/>
              </w:rPr>
              <w:t xml:space="preserve">4,358 </w:t>
            </w:r>
          </w:p>
        </w:tc>
        <w:tc>
          <w:tcPr>
            <w:tcW w:w="1477" w:type="dxa"/>
            <w:tcBorders>
              <w:top w:val="nil"/>
              <w:left w:val="nil"/>
              <w:bottom w:val="single" w:sz="4" w:space="0" w:color="auto"/>
              <w:right w:val="single" w:sz="4" w:space="0" w:color="auto"/>
            </w:tcBorders>
            <w:shd w:val="clear" w:color="auto" w:fill="auto"/>
            <w:noWrap/>
            <w:vAlign w:val="center"/>
          </w:tcPr>
          <w:p w14:paraId="3EA3D2AC" w14:textId="3EA7F649" w:rsidR="000D3E7D" w:rsidRPr="006E028D" w:rsidRDefault="000D3E7D" w:rsidP="110985B9">
            <w:pPr>
              <w:spacing w:after="0"/>
              <w:jc w:val="right"/>
              <w:rPr>
                <w:rFonts w:cs="Arial"/>
                <w:color w:val="000000"/>
              </w:rPr>
            </w:pPr>
            <w:r w:rsidRPr="0082290B">
              <w:rPr>
                <w:rFonts w:cs="Arial"/>
                <w:color w:val="000000" w:themeColor="text1"/>
              </w:rPr>
              <w:t>2.3%</w:t>
            </w:r>
          </w:p>
        </w:tc>
      </w:tr>
      <w:tr w:rsidR="000D3E7D" w:rsidRPr="00537E40" w14:paraId="792AF121"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07A59630" w14:textId="35BD29EC" w:rsidR="000D3E7D" w:rsidRDefault="000D3E7D" w:rsidP="110985B9">
            <w:pPr>
              <w:spacing w:after="0" w:line="240" w:lineRule="auto"/>
              <w:rPr>
                <w:rFonts w:cs="Arial"/>
                <w:b/>
                <w:bCs/>
                <w:color w:val="000000"/>
              </w:rPr>
            </w:pPr>
            <w:r w:rsidRPr="0082290B">
              <w:rPr>
                <w:rFonts w:cs="Arial"/>
                <w:b/>
                <w:bCs/>
                <w:color w:val="000000" w:themeColor="text1"/>
              </w:rPr>
              <w:t>Accommodation</w:t>
            </w:r>
          </w:p>
        </w:tc>
        <w:tc>
          <w:tcPr>
            <w:tcW w:w="1304" w:type="dxa"/>
            <w:tcBorders>
              <w:top w:val="nil"/>
              <w:left w:val="nil"/>
              <w:bottom w:val="single" w:sz="4" w:space="0" w:color="auto"/>
              <w:right w:val="single" w:sz="4" w:space="0" w:color="auto"/>
            </w:tcBorders>
            <w:shd w:val="clear" w:color="auto" w:fill="auto"/>
            <w:noWrap/>
            <w:vAlign w:val="center"/>
          </w:tcPr>
          <w:p w14:paraId="019C2EC8" w14:textId="50E545E9" w:rsidR="000D3E7D" w:rsidRPr="006E028D" w:rsidRDefault="000D3E7D" w:rsidP="110985B9">
            <w:pPr>
              <w:spacing w:after="0"/>
              <w:jc w:val="right"/>
              <w:rPr>
                <w:rFonts w:cs="Arial"/>
                <w:color w:val="000000"/>
              </w:rPr>
            </w:pPr>
            <w:r w:rsidRPr="0082290B">
              <w:rPr>
                <w:rFonts w:cs="Arial"/>
                <w:color w:val="000000" w:themeColor="text1"/>
              </w:rPr>
              <w:t xml:space="preserve">        9,928 </w:t>
            </w:r>
          </w:p>
        </w:tc>
        <w:tc>
          <w:tcPr>
            <w:tcW w:w="1304" w:type="dxa"/>
            <w:tcBorders>
              <w:top w:val="nil"/>
              <w:left w:val="nil"/>
              <w:bottom w:val="single" w:sz="4" w:space="0" w:color="auto"/>
              <w:right w:val="single" w:sz="4" w:space="0" w:color="auto"/>
            </w:tcBorders>
            <w:shd w:val="clear" w:color="auto" w:fill="auto"/>
            <w:noWrap/>
            <w:vAlign w:val="center"/>
          </w:tcPr>
          <w:p w14:paraId="32C560DE" w14:textId="216D141B" w:rsidR="000D3E7D" w:rsidRPr="006E028D" w:rsidRDefault="000D3E7D" w:rsidP="110985B9">
            <w:pPr>
              <w:spacing w:after="0"/>
              <w:jc w:val="right"/>
              <w:rPr>
                <w:rFonts w:cs="Arial"/>
                <w:color w:val="000000"/>
              </w:rPr>
            </w:pPr>
            <w:r w:rsidRPr="0082290B">
              <w:rPr>
                <w:rFonts w:cs="Arial"/>
                <w:color w:val="000000" w:themeColor="text1"/>
              </w:rPr>
              <w:t xml:space="preserve">13,086 </w:t>
            </w:r>
          </w:p>
        </w:tc>
        <w:tc>
          <w:tcPr>
            <w:tcW w:w="1272" w:type="dxa"/>
            <w:tcBorders>
              <w:top w:val="nil"/>
              <w:left w:val="nil"/>
              <w:bottom w:val="single" w:sz="4" w:space="0" w:color="auto"/>
              <w:right w:val="single" w:sz="4" w:space="0" w:color="auto"/>
            </w:tcBorders>
            <w:shd w:val="clear" w:color="auto" w:fill="auto"/>
            <w:noWrap/>
            <w:vAlign w:val="center"/>
          </w:tcPr>
          <w:p w14:paraId="29A1ED65" w14:textId="702E26D0" w:rsidR="000D3E7D" w:rsidRPr="006E028D" w:rsidRDefault="000D3E7D" w:rsidP="110985B9">
            <w:pPr>
              <w:spacing w:after="0"/>
              <w:jc w:val="right"/>
              <w:rPr>
                <w:rFonts w:cs="Arial"/>
                <w:color w:val="000000"/>
              </w:rPr>
            </w:pPr>
            <w:r w:rsidRPr="0082290B">
              <w:rPr>
                <w:rFonts w:cs="Arial"/>
                <w:color w:val="000000" w:themeColor="text1"/>
              </w:rPr>
              <w:t xml:space="preserve">14,162 </w:t>
            </w:r>
          </w:p>
        </w:tc>
        <w:tc>
          <w:tcPr>
            <w:tcW w:w="1276" w:type="dxa"/>
            <w:tcBorders>
              <w:top w:val="nil"/>
              <w:left w:val="nil"/>
              <w:bottom w:val="single" w:sz="4" w:space="0" w:color="auto"/>
              <w:right w:val="single" w:sz="4" w:space="0" w:color="auto"/>
            </w:tcBorders>
            <w:shd w:val="clear" w:color="auto" w:fill="auto"/>
            <w:noWrap/>
            <w:vAlign w:val="center"/>
          </w:tcPr>
          <w:p w14:paraId="647E2F22" w14:textId="5BAE0EA4" w:rsidR="000D3E7D" w:rsidRPr="006E028D" w:rsidRDefault="000D3E7D" w:rsidP="110985B9">
            <w:pPr>
              <w:spacing w:after="0"/>
              <w:jc w:val="right"/>
              <w:rPr>
                <w:rFonts w:cs="Arial"/>
                <w:color w:val="000000"/>
              </w:rPr>
            </w:pPr>
            <w:r w:rsidRPr="0082290B">
              <w:rPr>
                <w:rFonts w:cs="Arial"/>
                <w:color w:val="000000" w:themeColor="text1"/>
              </w:rPr>
              <w:t xml:space="preserve">4,234 </w:t>
            </w:r>
          </w:p>
        </w:tc>
        <w:tc>
          <w:tcPr>
            <w:tcW w:w="1477" w:type="dxa"/>
            <w:tcBorders>
              <w:top w:val="nil"/>
              <w:left w:val="nil"/>
              <w:bottom w:val="single" w:sz="4" w:space="0" w:color="auto"/>
              <w:right w:val="single" w:sz="4" w:space="0" w:color="auto"/>
            </w:tcBorders>
            <w:shd w:val="clear" w:color="auto" w:fill="auto"/>
            <w:noWrap/>
            <w:vAlign w:val="center"/>
          </w:tcPr>
          <w:p w14:paraId="439581C5" w14:textId="3DC9B6D2" w:rsidR="000D3E7D" w:rsidRPr="006E028D" w:rsidRDefault="000D3E7D" w:rsidP="110985B9">
            <w:pPr>
              <w:spacing w:after="0"/>
              <w:jc w:val="right"/>
              <w:rPr>
                <w:rFonts w:cs="Arial"/>
                <w:color w:val="000000"/>
              </w:rPr>
            </w:pPr>
            <w:r w:rsidRPr="0082290B">
              <w:rPr>
                <w:rFonts w:cs="Arial"/>
                <w:color w:val="000000" w:themeColor="text1"/>
              </w:rPr>
              <w:t>2.2%</w:t>
            </w:r>
          </w:p>
        </w:tc>
      </w:tr>
      <w:tr w:rsidR="000D3E7D" w:rsidRPr="00537E40" w14:paraId="3785629C"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78DB2353" w14:textId="1D81DCED" w:rsidR="000D3E7D" w:rsidRDefault="000D3E7D" w:rsidP="110985B9">
            <w:pPr>
              <w:spacing w:after="0" w:line="240" w:lineRule="auto"/>
              <w:rPr>
                <w:rFonts w:cs="Arial"/>
                <w:b/>
                <w:bCs/>
                <w:color w:val="000000"/>
              </w:rPr>
            </w:pPr>
            <w:r w:rsidRPr="0082290B">
              <w:rPr>
                <w:rFonts w:cs="Arial"/>
                <w:b/>
                <w:bCs/>
                <w:color w:val="000000" w:themeColor="text1"/>
              </w:rPr>
              <w:t>Information media and telecommunications</w:t>
            </w:r>
          </w:p>
        </w:tc>
        <w:tc>
          <w:tcPr>
            <w:tcW w:w="1304" w:type="dxa"/>
            <w:tcBorders>
              <w:top w:val="nil"/>
              <w:left w:val="nil"/>
              <w:bottom w:val="single" w:sz="4" w:space="0" w:color="auto"/>
              <w:right w:val="single" w:sz="4" w:space="0" w:color="auto"/>
            </w:tcBorders>
            <w:shd w:val="clear" w:color="auto" w:fill="auto"/>
            <w:noWrap/>
            <w:vAlign w:val="center"/>
          </w:tcPr>
          <w:p w14:paraId="22B94AAE" w14:textId="62705A3A" w:rsidR="000D3E7D" w:rsidRPr="006E028D" w:rsidRDefault="000D3E7D" w:rsidP="110985B9">
            <w:pPr>
              <w:spacing w:after="0"/>
              <w:jc w:val="right"/>
              <w:rPr>
                <w:rFonts w:cs="Arial"/>
                <w:color w:val="000000"/>
              </w:rPr>
            </w:pPr>
            <w:r w:rsidRPr="0082290B">
              <w:rPr>
                <w:rFonts w:cs="Arial"/>
                <w:color w:val="000000" w:themeColor="text1"/>
              </w:rPr>
              <w:t xml:space="preserve">      26,240 </w:t>
            </w:r>
          </w:p>
        </w:tc>
        <w:tc>
          <w:tcPr>
            <w:tcW w:w="1304" w:type="dxa"/>
            <w:tcBorders>
              <w:top w:val="nil"/>
              <w:left w:val="nil"/>
              <w:bottom w:val="single" w:sz="4" w:space="0" w:color="auto"/>
              <w:right w:val="single" w:sz="4" w:space="0" w:color="auto"/>
            </w:tcBorders>
            <w:shd w:val="clear" w:color="auto" w:fill="auto"/>
            <w:noWrap/>
            <w:vAlign w:val="center"/>
          </w:tcPr>
          <w:p w14:paraId="054D91DD" w14:textId="6A601B63" w:rsidR="000D3E7D" w:rsidRPr="006E028D" w:rsidRDefault="000D3E7D" w:rsidP="110985B9">
            <w:pPr>
              <w:spacing w:after="0"/>
              <w:jc w:val="right"/>
              <w:rPr>
                <w:rFonts w:cs="Arial"/>
                <w:color w:val="000000"/>
              </w:rPr>
            </w:pPr>
            <w:r w:rsidRPr="0082290B">
              <w:rPr>
                <w:rFonts w:cs="Arial"/>
                <w:color w:val="000000" w:themeColor="text1"/>
              </w:rPr>
              <w:t xml:space="preserve">27,434 </w:t>
            </w:r>
          </w:p>
        </w:tc>
        <w:tc>
          <w:tcPr>
            <w:tcW w:w="1272" w:type="dxa"/>
            <w:tcBorders>
              <w:top w:val="nil"/>
              <w:left w:val="nil"/>
              <w:bottom w:val="single" w:sz="4" w:space="0" w:color="auto"/>
              <w:right w:val="single" w:sz="4" w:space="0" w:color="auto"/>
            </w:tcBorders>
            <w:shd w:val="clear" w:color="auto" w:fill="auto"/>
            <w:noWrap/>
            <w:vAlign w:val="center"/>
          </w:tcPr>
          <w:p w14:paraId="7AA99927" w14:textId="5346FB59" w:rsidR="000D3E7D" w:rsidRPr="006E028D" w:rsidRDefault="000D3E7D" w:rsidP="110985B9">
            <w:pPr>
              <w:spacing w:after="0"/>
              <w:jc w:val="right"/>
              <w:rPr>
                <w:rFonts w:cs="Arial"/>
                <w:color w:val="000000"/>
              </w:rPr>
            </w:pPr>
            <w:r w:rsidRPr="0082290B">
              <w:rPr>
                <w:rFonts w:cs="Arial"/>
                <w:color w:val="000000" w:themeColor="text1"/>
              </w:rPr>
              <w:t xml:space="preserve">30,232 </w:t>
            </w:r>
          </w:p>
        </w:tc>
        <w:tc>
          <w:tcPr>
            <w:tcW w:w="1276" w:type="dxa"/>
            <w:tcBorders>
              <w:top w:val="nil"/>
              <w:left w:val="nil"/>
              <w:bottom w:val="single" w:sz="4" w:space="0" w:color="auto"/>
              <w:right w:val="single" w:sz="4" w:space="0" w:color="auto"/>
            </w:tcBorders>
            <w:shd w:val="clear" w:color="auto" w:fill="auto"/>
            <w:noWrap/>
            <w:vAlign w:val="center"/>
          </w:tcPr>
          <w:p w14:paraId="08AF3094" w14:textId="000A1B0F" w:rsidR="000D3E7D" w:rsidRPr="006E028D" w:rsidRDefault="000D3E7D" w:rsidP="110985B9">
            <w:pPr>
              <w:spacing w:after="0"/>
              <w:jc w:val="right"/>
              <w:rPr>
                <w:rFonts w:cs="Arial"/>
                <w:color w:val="000000"/>
              </w:rPr>
            </w:pPr>
            <w:r w:rsidRPr="0082290B">
              <w:rPr>
                <w:rFonts w:cs="Arial"/>
                <w:color w:val="000000" w:themeColor="text1"/>
              </w:rPr>
              <w:t xml:space="preserve">3,992 </w:t>
            </w:r>
          </w:p>
        </w:tc>
        <w:tc>
          <w:tcPr>
            <w:tcW w:w="1477" w:type="dxa"/>
            <w:tcBorders>
              <w:top w:val="nil"/>
              <w:left w:val="nil"/>
              <w:bottom w:val="single" w:sz="4" w:space="0" w:color="auto"/>
              <w:right w:val="single" w:sz="4" w:space="0" w:color="auto"/>
            </w:tcBorders>
            <w:shd w:val="clear" w:color="auto" w:fill="auto"/>
            <w:noWrap/>
            <w:vAlign w:val="center"/>
          </w:tcPr>
          <w:p w14:paraId="11376DE8" w14:textId="73AAFBC1" w:rsidR="000D3E7D" w:rsidRPr="006E028D" w:rsidRDefault="000D3E7D" w:rsidP="110985B9">
            <w:pPr>
              <w:spacing w:after="0"/>
              <w:jc w:val="right"/>
              <w:rPr>
                <w:rFonts w:cs="Arial"/>
                <w:color w:val="000000"/>
              </w:rPr>
            </w:pPr>
            <w:r w:rsidRPr="0082290B">
              <w:rPr>
                <w:rFonts w:cs="Arial"/>
                <w:color w:val="000000" w:themeColor="text1"/>
              </w:rPr>
              <w:t>2.1%</w:t>
            </w:r>
          </w:p>
        </w:tc>
      </w:tr>
      <w:tr w:rsidR="000D3E7D" w:rsidRPr="00537E40" w14:paraId="42360273"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4BB81556" w14:textId="6A865D45" w:rsidR="000D3E7D" w:rsidRDefault="000D3E7D" w:rsidP="110985B9">
            <w:pPr>
              <w:spacing w:after="0" w:line="240" w:lineRule="auto"/>
              <w:rPr>
                <w:rFonts w:cs="Arial"/>
                <w:b/>
                <w:bCs/>
                <w:color w:val="000000"/>
              </w:rPr>
            </w:pPr>
            <w:r w:rsidRPr="0082290B">
              <w:rPr>
                <w:rFonts w:cs="Arial"/>
                <w:b/>
                <w:bCs/>
                <w:color w:val="000000" w:themeColor="text1"/>
              </w:rPr>
              <w:t>Real estate services</w:t>
            </w:r>
          </w:p>
        </w:tc>
        <w:tc>
          <w:tcPr>
            <w:tcW w:w="1304" w:type="dxa"/>
            <w:tcBorders>
              <w:top w:val="nil"/>
              <w:left w:val="nil"/>
              <w:bottom w:val="single" w:sz="4" w:space="0" w:color="auto"/>
              <w:right w:val="single" w:sz="4" w:space="0" w:color="auto"/>
            </w:tcBorders>
            <w:shd w:val="clear" w:color="auto" w:fill="auto"/>
            <w:noWrap/>
            <w:vAlign w:val="center"/>
          </w:tcPr>
          <w:p w14:paraId="00145BA0" w14:textId="0B37BE61" w:rsidR="000D3E7D" w:rsidRPr="006E028D" w:rsidRDefault="000D3E7D" w:rsidP="110985B9">
            <w:pPr>
              <w:spacing w:after="0"/>
              <w:jc w:val="right"/>
              <w:rPr>
                <w:rFonts w:cs="Arial"/>
                <w:color w:val="000000"/>
              </w:rPr>
            </w:pPr>
            <w:r w:rsidRPr="0082290B">
              <w:rPr>
                <w:rFonts w:cs="Arial"/>
                <w:color w:val="000000" w:themeColor="text1"/>
              </w:rPr>
              <w:t xml:space="preserve">        9,302 </w:t>
            </w:r>
          </w:p>
        </w:tc>
        <w:tc>
          <w:tcPr>
            <w:tcW w:w="1304" w:type="dxa"/>
            <w:tcBorders>
              <w:top w:val="nil"/>
              <w:left w:val="nil"/>
              <w:bottom w:val="single" w:sz="4" w:space="0" w:color="auto"/>
              <w:right w:val="single" w:sz="4" w:space="0" w:color="auto"/>
            </w:tcBorders>
            <w:shd w:val="clear" w:color="auto" w:fill="auto"/>
            <w:noWrap/>
            <w:vAlign w:val="center"/>
          </w:tcPr>
          <w:p w14:paraId="3746518C" w14:textId="582D874C" w:rsidR="000D3E7D" w:rsidRPr="006E028D" w:rsidRDefault="000D3E7D" w:rsidP="110985B9">
            <w:pPr>
              <w:spacing w:after="0"/>
              <w:jc w:val="right"/>
              <w:rPr>
                <w:rFonts w:cs="Arial"/>
                <w:color w:val="000000"/>
              </w:rPr>
            </w:pPr>
            <w:r w:rsidRPr="0082290B">
              <w:rPr>
                <w:rFonts w:cs="Arial"/>
                <w:color w:val="000000" w:themeColor="text1"/>
              </w:rPr>
              <w:t xml:space="preserve">11,588 </w:t>
            </w:r>
          </w:p>
        </w:tc>
        <w:tc>
          <w:tcPr>
            <w:tcW w:w="1272" w:type="dxa"/>
            <w:tcBorders>
              <w:top w:val="nil"/>
              <w:left w:val="nil"/>
              <w:bottom w:val="single" w:sz="4" w:space="0" w:color="auto"/>
              <w:right w:val="single" w:sz="4" w:space="0" w:color="auto"/>
            </w:tcBorders>
            <w:shd w:val="clear" w:color="auto" w:fill="auto"/>
            <w:noWrap/>
            <w:vAlign w:val="center"/>
          </w:tcPr>
          <w:p w14:paraId="1C650B92" w14:textId="338831B5" w:rsidR="000D3E7D" w:rsidRPr="006E028D" w:rsidRDefault="000D3E7D" w:rsidP="110985B9">
            <w:pPr>
              <w:spacing w:after="0"/>
              <w:jc w:val="right"/>
              <w:rPr>
                <w:rFonts w:cs="Arial"/>
                <w:color w:val="000000"/>
              </w:rPr>
            </w:pPr>
            <w:r w:rsidRPr="0082290B">
              <w:rPr>
                <w:rFonts w:cs="Arial"/>
                <w:color w:val="000000" w:themeColor="text1"/>
              </w:rPr>
              <w:t xml:space="preserve">12,641 </w:t>
            </w:r>
          </w:p>
        </w:tc>
        <w:tc>
          <w:tcPr>
            <w:tcW w:w="1276" w:type="dxa"/>
            <w:tcBorders>
              <w:top w:val="nil"/>
              <w:left w:val="nil"/>
              <w:bottom w:val="single" w:sz="4" w:space="0" w:color="auto"/>
              <w:right w:val="single" w:sz="4" w:space="0" w:color="auto"/>
            </w:tcBorders>
            <w:shd w:val="clear" w:color="auto" w:fill="auto"/>
            <w:noWrap/>
            <w:vAlign w:val="center"/>
          </w:tcPr>
          <w:p w14:paraId="310539A4" w14:textId="29CE28CE" w:rsidR="000D3E7D" w:rsidRPr="006E028D" w:rsidRDefault="000D3E7D" w:rsidP="110985B9">
            <w:pPr>
              <w:spacing w:after="0"/>
              <w:jc w:val="right"/>
              <w:rPr>
                <w:rFonts w:cs="Arial"/>
                <w:color w:val="000000"/>
              </w:rPr>
            </w:pPr>
            <w:r w:rsidRPr="0082290B">
              <w:rPr>
                <w:rFonts w:cs="Arial"/>
                <w:color w:val="000000" w:themeColor="text1"/>
              </w:rPr>
              <w:t xml:space="preserve">3,340 </w:t>
            </w:r>
          </w:p>
        </w:tc>
        <w:tc>
          <w:tcPr>
            <w:tcW w:w="1477" w:type="dxa"/>
            <w:tcBorders>
              <w:top w:val="nil"/>
              <w:left w:val="nil"/>
              <w:bottom w:val="single" w:sz="4" w:space="0" w:color="auto"/>
              <w:right w:val="single" w:sz="4" w:space="0" w:color="auto"/>
            </w:tcBorders>
            <w:shd w:val="clear" w:color="auto" w:fill="auto"/>
            <w:noWrap/>
            <w:vAlign w:val="center"/>
          </w:tcPr>
          <w:p w14:paraId="7D1188D5" w14:textId="3AADD49F" w:rsidR="000D3E7D" w:rsidRPr="006E028D" w:rsidRDefault="000D3E7D" w:rsidP="110985B9">
            <w:pPr>
              <w:spacing w:after="0"/>
              <w:jc w:val="right"/>
              <w:rPr>
                <w:rFonts w:cs="Arial"/>
                <w:color w:val="000000"/>
              </w:rPr>
            </w:pPr>
            <w:r w:rsidRPr="0082290B">
              <w:rPr>
                <w:rFonts w:cs="Arial"/>
                <w:color w:val="000000" w:themeColor="text1"/>
              </w:rPr>
              <w:t>1.7%</w:t>
            </w:r>
          </w:p>
        </w:tc>
      </w:tr>
      <w:tr w:rsidR="000D3E7D" w:rsidRPr="00537E40" w14:paraId="3913E380"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41E333CE" w14:textId="097C7C13" w:rsidR="000D3E7D" w:rsidRDefault="000D3E7D" w:rsidP="110985B9">
            <w:pPr>
              <w:spacing w:after="0" w:line="240" w:lineRule="auto"/>
              <w:rPr>
                <w:rFonts w:cs="Arial"/>
                <w:b/>
                <w:bCs/>
                <w:color w:val="000000"/>
              </w:rPr>
            </w:pPr>
            <w:r w:rsidRPr="0082290B">
              <w:rPr>
                <w:rFonts w:cs="Arial"/>
                <w:b/>
                <w:bCs/>
                <w:color w:val="000000" w:themeColor="text1"/>
              </w:rPr>
              <w:t>Construction</w:t>
            </w:r>
          </w:p>
        </w:tc>
        <w:tc>
          <w:tcPr>
            <w:tcW w:w="1304" w:type="dxa"/>
            <w:tcBorders>
              <w:top w:val="nil"/>
              <w:left w:val="nil"/>
              <w:bottom w:val="single" w:sz="4" w:space="0" w:color="auto"/>
              <w:right w:val="single" w:sz="4" w:space="0" w:color="auto"/>
            </w:tcBorders>
            <w:shd w:val="clear" w:color="auto" w:fill="auto"/>
            <w:noWrap/>
            <w:vAlign w:val="center"/>
          </w:tcPr>
          <w:p w14:paraId="75A764FD" w14:textId="56B258C1" w:rsidR="000D3E7D" w:rsidRPr="006E028D" w:rsidRDefault="000D3E7D" w:rsidP="110985B9">
            <w:pPr>
              <w:spacing w:after="0"/>
              <w:jc w:val="right"/>
              <w:rPr>
                <w:rFonts w:cs="Arial"/>
                <w:color w:val="000000"/>
              </w:rPr>
            </w:pPr>
            <w:r w:rsidRPr="0082290B">
              <w:rPr>
                <w:rFonts w:cs="Arial"/>
                <w:color w:val="000000" w:themeColor="text1"/>
              </w:rPr>
              <w:t xml:space="preserve">        6,731 </w:t>
            </w:r>
          </w:p>
        </w:tc>
        <w:tc>
          <w:tcPr>
            <w:tcW w:w="1304" w:type="dxa"/>
            <w:tcBorders>
              <w:top w:val="nil"/>
              <w:left w:val="nil"/>
              <w:bottom w:val="single" w:sz="4" w:space="0" w:color="auto"/>
              <w:right w:val="single" w:sz="4" w:space="0" w:color="auto"/>
            </w:tcBorders>
            <w:shd w:val="clear" w:color="auto" w:fill="auto"/>
            <w:noWrap/>
            <w:vAlign w:val="center"/>
          </w:tcPr>
          <w:p w14:paraId="6127A6FB" w14:textId="4164EA33" w:rsidR="000D3E7D" w:rsidRPr="006E028D" w:rsidRDefault="000D3E7D" w:rsidP="110985B9">
            <w:pPr>
              <w:spacing w:after="0"/>
              <w:jc w:val="right"/>
              <w:rPr>
                <w:rFonts w:cs="Arial"/>
                <w:color w:val="000000"/>
              </w:rPr>
            </w:pPr>
            <w:r w:rsidRPr="0082290B">
              <w:rPr>
                <w:rFonts w:cs="Arial"/>
                <w:color w:val="000000" w:themeColor="text1"/>
              </w:rPr>
              <w:t xml:space="preserve">8,439 </w:t>
            </w:r>
          </w:p>
        </w:tc>
        <w:tc>
          <w:tcPr>
            <w:tcW w:w="1272" w:type="dxa"/>
            <w:tcBorders>
              <w:top w:val="nil"/>
              <w:left w:val="nil"/>
              <w:bottom w:val="single" w:sz="4" w:space="0" w:color="auto"/>
              <w:right w:val="single" w:sz="4" w:space="0" w:color="auto"/>
            </w:tcBorders>
            <w:shd w:val="clear" w:color="auto" w:fill="auto"/>
            <w:noWrap/>
            <w:vAlign w:val="center"/>
          </w:tcPr>
          <w:p w14:paraId="179836FB" w14:textId="5F24E1EA" w:rsidR="000D3E7D" w:rsidRPr="006E028D" w:rsidRDefault="000D3E7D" w:rsidP="110985B9">
            <w:pPr>
              <w:spacing w:after="0"/>
              <w:jc w:val="right"/>
              <w:rPr>
                <w:rFonts w:cs="Arial"/>
                <w:color w:val="000000"/>
              </w:rPr>
            </w:pPr>
            <w:r w:rsidRPr="0082290B">
              <w:rPr>
                <w:rFonts w:cs="Arial"/>
                <w:color w:val="000000" w:themeColor="text1"/>
              </w:rPr>
              <w:t xml:space="preserve">9,243 </w:t>
            </w:r>
          </w:p>
        </w:tc>
        <w:tc>
          <w:tcPr>
            <w:tcW w:w="1276" w:type="dxa"/>
            <w:tcBorders>
              <w:top w:val="nil"/>
              <w:left w:val="nil"/>
              <w:bottom w:val="single" w:sz="4" w:space="0" w:color="auto"/>
              <w:right w:val="single" w:sz="4" w:space="0" w:color="auto"/>
            </w:tcBorders>
            <w:shd w:val="clear" w:color="auto" w:fill="auto"/>
            <w:noWrap/>
            <w:vAlign w:val="center"/>
          </w:tcPr>
          <w:p w14:paraId="2A95D406" w14:textId="59289BEF" w:rsidR="000D3E7D" w:rsidRPr="006E028D" w:rsidRDefault="000D3E7D" w:rsidP="110985B9">
            <w:pPr>
              <w:spacing w:after="0"/>
              <w:jc w:val="right"/>
              <w:rPr>
                <w:rFonts w:cs="Arial"/>
                <w:color w:val="000000"/>
              </w:rPr>
            </w:pPr>
            <w:r w:rsidRPr="0082290B">
              <w:rPr>
                <w:rFonts w:cs="Arial"/>
                <w:color w:val="000000" w:themeColor="text1"/>
              </w:rPr>
              <w:t xml:space="preserve">2,512 </w:t>
            </w:r>
          </w:p>
        </w:tc>
        <w:tc>
          <w:tcPr>
            <w:tcW w:w="1477" w:type="dxa"/>
            <w:tcBorders>
              <w:top w:val="nil"/>
              <w:left w:val="nil"/>
              <w:bottom w:val="single" w:sz="4" w:space="0" w:color="auto"/>
              <w:right w:val="single" w:sz="4" w:space="0" w:color="auto"/>
            </w:tcBorders>
            <w:shd w:val="clear" w:color="auto" w:fill="auto"/>
            <w:noWrap/>
            <w:vAlign w:val="center"/>
          </w:tcPr>
          <w:p w14:paraId="2F2FFFC8" w14:textId="32866E61" w:rsidR="000D3E7D" w:rsidRPr="006E028D" w:rsidRDefault="000D3E7D" w:rsidP="110985B9">
            <w:pPr>
              <w:spacing w:after="0"/>
              <w:jc w:val="right"/>
              <w:rPr>
                <w:rFonts w:cs="Arial"/>
                <w:color w:val="000000"/>
              </w:rPr>
            </w:pPr>
            <w:r w:rsidRPr="0082290B">
              <w:rPr>
                <w:rFonts w:cs="Arial"/>
                <w:color w:val="000000" w:themeColor="text1"/>
              </w:rPr>
              <w:t>1.3%</w:t>
            </w:r>
          </w:p>
        </w:tc>
      </w:tr>
      <w:tr w:rsidR="000D3E7D" w:rsidRPr="00537E40" w14:paraId="2D7F76DC"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403CA92D" w14:textId="56D06B0F" w:rsidR="000D3E7D" w:rsidRDefault="000D3E7D" w:rsidP="110985B9">
            <w:pPr>
              <w:spacing w:after="0" w:line="240" w:lineRule="auto"/>
              <w:rPr>
                <w:rFonts w:cs="Arial"/>
                <w:b/>
                <w:bCs/>
                <w:color w:val="000000"/>
              </w:rPr>
            </w:pPr>
            <w:r w:rsidRPr="0082290B">
              <w:rPr>
                <w:rFonts w:cs="Arial"/>
                <w:b/>
                <w:bCs/>
                <w:color w:val="000000" w:themeColor="text1"/>
              </w:rPr>
              <w:t>Transport, postal and storage</w:t>
            </w:r>
          </w:p>
        </w:tc>
        <w:tc>
          <w:tcPr>
            <w:tcW w:w="1304" w:type="dxa"/>
            <w:tcBorders>
              <w:top w:val="nil"/>
              <w:left w:val="nil"/>
              <w:bottom w:val="single" w:sz="4" w:space="0" w:color="auto"/>
              <w:right w:val="single" w:sz="4" w:space="0" w:color="auto"/>
            </w:tcBorders>
            <w:shd w:val="clear" w:color="auto" w:fill="auto"/>
            <w:noWrap/>
            <w:vAlign w:val="center"/>
          </w:tcPr>
          <w:p w14:paraId="2861F48D" w14:textId="0B85DD2E" w:rsidR="000D3E7D" w:rsidRPr="006E028D" w:rsidRDefault="000D3E7D" w:rsidP="110985B9">
            <w:pPr>
              <w:spacing w:after="0"/>
              <w:jc w:val="right"/>
              <w:rPr>
                <w:rFonts w:cs="Arial"/>
                <w:color w:val="000000"/>
              </w:rPr>
            </w:pPr>
            <w:r w:rsidRPr="0082290B">
              <w:rPr>
                <w:rFonts w:cs="Arial"/>
                <w:color w:val="000000" w:themeColor="text1"/>
              </w:rPr>
              <w:t xml:space="preserve">      14,296 </w:t>
            </w:r>
          </w:p>
        </w:tc>
        <w:tc>
          <w:tcPr>
            <w:tcW w:w="1304" w:type="dxa"/>
            <w:tcBorders>
              <w:top w:val="nil"/>
              <w:left w:val="nil"/>
              <w:bottom w:val="single" w:sz="4" w:space="0" w:color="auto"/>
              <w:right w:val="single" w:sz="4" w:space="0" w:color="auto"/>
            </w:tcBorders>
            <w:shd w:val="clear" w:color="auto" w:fill="auto"/>
            <w:noWrap/>
            <w:vAlign w:val="center"/>
          </w:tcPr>
          <w:p w14:paraId="27295347" w14:textId="5860B340" w:rsidR="000D3E7D" w:rsidRPr="006E028D" w:rsidRDefault="000D3E7D" w:rsidP="110985B9">
            <w:pPr>
              <w:spacing w:after="0"/>
              <w:jc w:val="right"/>
              <w:rPr>
                <w:rFonts w:cs="Arial"/>
                <w:color w:val="000000"/>
              </w:rPr>
            </w:pPr>
            <w:r w:rsidRPr="0082290B">
              <w:rPr>
                <w:rFonts w:cs="Arial"/>
                <w:color w:val="000000" w:themeColor="text1"/>
              </w:rPr>
              <w:t xml:space="preserve">16,637 </w:t>
            </w:r>
          </w:p>
        </w:tc>
        <w:tc>
          <w:tcPr>
            <w:tcW w:w="1272" w:type="dxa"/>
            <w:tcBorders>
              <w:top w:val="nil"/>
              <w:left w:val="nil"/>
              <w:bottom w:val="single" w:sz="4" w:space="0" w:color="auto"/>
              <w:right w:val="single" w:sz="4" w:space="0" w:color="auto"/>
            </w:tcBorders>
            <w:shd w:val="clear" w:color="auto" w:fill="auto"/>
            <w:noWrap/>
            <w:vAlign w:val="center"/>
          </w:tcPr>
          <w:p w14:paraId="0AA3B08F" w14:textId="6872E560" w:rsidR="000D3E7D" w:rsidRPr="006E028D" w:rsidRDefault="000D3E7D" w:rsidP="110985B9">
            <w:pPr>
              <w:spacing w:after="0"/>
              <w:jc w:val="right"/>
              <w:rPr>
                <w:rFonts w:cs="Arial"/>
                <w:color w:val="000000"/>
              </w:rPr>
            </w:pPr>
            <w:r w:rsidRPr="0082290B">
              <w:rPr>
                <w:rFonts w:cs="Arial"/>
                <w:color w:val="000000" w:themeColor="text1"/>
              </w:rPr>
              <w:t xml:space="preserve">16,488 </w:t>
            </w:r>
          </w:p>
        </w:tc>
        <w:tc>
          <w:tcPr>
            <w:tcW w:w="1276" w:type="dxa"/>
            <w:tcBorders>
              <w:top w:val="nil"/>
              <w:left w:val="nil"/>
              <w:bottom w:val="single" w:sz="4" w:space="0" w:color="auto"/>
              <w:right w:val="single" w:sz="4" w:space="0" w:color="auto"/>
            </w:tcBorders>
            <w:shd w:val="clear" w:color="auto" w:fill="auto"/>
            <w:noWrap/>
            <w:vAlign w:val="center"/>
          </w:tcPr>
          <w:p w14:paraId="09541C75" w14:textId="3543D344" w:rsidR="000D3E7D" w:rsidRPr="006E028D" w:rsidRDefault="000D3E7D" w:rsidP="110985B9">
            <w:pPr>
              <w:spacing w:after="0"/>
              <w:jc w:val="right"/>
              <w:rPr>
                <w:rFonts w:cs="Arial"/>
                <w:color w:val="000000"/>
              </w:rPr>
            </w:pPr>
            <w:r w:rsidRPr="0082290B">
              <w:rPr>
                <w:rFonts w:cs="Arial"/>
                <w:color w:val="000000" w:themeColor="text1"/>
              </w:rPr>
              <w:t xml:space="preserve">2,193 </w:t>
            </w:r>
          </w:p>
        </w:tc>
        <w:tc>
          <w:tcPr>
            <w:tcW w:w="1477" w:type="dxa"/>
            <w:tcBorders>
              <w:top w:val="nil"/>
              <w:left w:val="nil"/>
              <w:bottom w:val="single" w:sz="4" w:space="0" w:color="auto"/>
              <w:right w:val="single" w:sz="4" w:space="0" w:color="auto"/>
            </w:tcBorders>
            <w:shd w:val="clear" w:color="auto" w:fill="auto"/>
            <w:noWrap/>
            <w:vAlign w:val="center"/>
          </w:tcPr>
          <w:p w14:paraId="23599B0F" w14:textId="79B3503E" w:rsidR="000D3E7D" w:rsidRPr="006E028D" w:rsidRDefault="000D3E7D" w:rsidP="110985B9">
            <w:pPr>
              <w:spacing w:after="0"/>
              <w:jc w:val="right"/>
              <w:rPr>
                <w:rFonts w:cs="Arial"/>
                <w:color w:val="000000"/>
              </w:rPr>
            </w:pPr>
            <w:r w:rsidRPr="0082290B">
              <w:rPr>
                <w:rFonts w:cs="Arial"/>
                <w:color w:val="000000" w:themeColor="text1"/>
              </w:rPr>
              <w:t>1.1%</w:t>
            </w:r>
          </w:p>
        </w:tc>
      </w:tr>
      <w:tr w:rsidR="000D3E7D" w:rsidRPr="00537E40" w14:paraId="1BF42BF5"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5336A7DA" w14:textId="289815B4" w:rsidR="000D3E7D" w:rsidRDefault="000D3E7D" w:rsidP="110985B9">
            <w:pPr>
              <w:spacing w:after="0" w:line="240" w:lineRule="auto"/>
              <w:rPr>
                <w:rFonts w:cs="Arial"/>
                <w:b/>
                <w:bCs/>
                <w:color w:val="000000"/>
              </w:rPr>
            </w:pPr>
            <w:r w:rsidRPr="0082290B">
              <w:rPr>
                <w:rFonts w:cs="Arial"/>
                <w:b/>
                <w:bCs/>
                <w:color w:val="000000" w:themeColor="text1"/>
              </w:rPr>
              <w:t>Agriculture and mining</w:t>
            </w:r>
          </w:p>
        </w:tc>
        <w:tc>
          <w:tcPr>
            <w:tcW w:w="1304" w:type="dxa"/>
            <w:tcBorders>
              <w:top w:val="nil"/>
              <w:left w:val="nil"/>
              <w:bottom w:val="single" w:sz="4" w:space="0" w:color="auto"/>
              <w:right w:val="single" w:sz="4" w:space="0" w:color="auto"/>
            </w:tcBorders>
            <w:shd w:val="clear" w:color="auto" w:fill="auto"/>
            <w:noWrap/>
            <w:vAlign w:val="center"/>
          </w:tcPr>
          <w:p w14:paraId="43DDEDA8" w14:textId="56843B93" w:rsidR="000D3E7D" w:rsidRPr="006E028D" w:rsidRDefault="000D3E7D" w:rsidP="110985B9">
            <w:pPr>
              <w:spacing w:after="0"/>
              <w:jc w:val="right"/>
              <w:rPr>
                <w:rFonts w:cs="Arial"/>
                <w:color w:val="000000"/>
              </w:rPr>
            </w:pPr>
            <w:r w:rsidRPr="0082290B">
              <w:rPr>
                <w:rFonts w:cs="Arial"/>
                <w:color w:val="000000" w:themeColor="text1"/>
              </w:rPr>
              <w:t xml:space="preserve">        2,881 </w:t>
            </w:r>
          </w:p>
        </w:tc>
        <w:tc>
          <w:tcPr>
            <w:tcW w:w="1304" w:type="dxa"/>
            <w:tcBorders>
              <w:top w:val="nil"/>
              <w:left w:val="nil"/>
              <w:bottom w:val="single" w:sz="4" w:space="0" w:color="auto"/>
              <w:right w:val="single" w:sz="4" w:space="0" w:color="auto"/>
            </w:tcBorders>
            <w:shd w:val="clear" w:color="auto" w:fill="auto"/>
            <w:noWrap/>
            <w:vAlign w:val="center"/>
          </w:tcPr>
          <w:p w14:paraId="10D9293B" w14:textId="4ED8D9CF" w:rsidR="000D3E7D" w:rsidRPr="006E028D" w:rsidRDefault="000D3E7D" w:rsidP="110985B9">
            <w:pPr>
              <w:spacing w:after="0"/>
              <w:jc w:val="right"/>
              <w:rPr>
                <w:rFonts w:cs="Arial"/>
                <w:color w:val="000000"/>
              </w:rPr>
            </w:pPr>
            <w:r w:rsidRPr="0082290B">
              <w:rPr>
                <w:rFonts w:cs="Arial"/>
                <w:color w:val="000000" w:themeColor="text1"/>
              </w:rPr>
              <w:t xml:space="preserve">2,990 </w:t>
            </w:r>
          </w:p>
        </w:tc>
        <w:tc>
          <w:tcPr>
            <w:tcW w:w="1272" w:type="dxa"/>
            <w:tcBorders>
              <w:top w:val="nil"/>
              <w:left w:val="nil"/>
              <w:bottom w:val="single" w:sz="4" w:space="0" w:color="auto"/>
              <w:right w:val="single" w:sz="4" w:space="0" w:color="auto"/>
            </w:tcBorders>
            <w:shd w:val="clear" w:color="auto" w:fill="auto"/>
            <w:noWrap/>
            <w:vAlign w:val="center"/>
          </w:tcPr>
          <w:p w14:paraId="3E3954A1" w14:textId="1CA7F3B5" w:rsidR="000D3E7D" w:rsidRPr="006E028D" w:rsidRDefault="000D3E7D" w:rsidP="110985B9">
            <w:pPr>
              <w:spacing w:after="0"/>
              <w:jc w:val="right"/>
              <w:rPr>
                <w:rFonts w:cs="Arial"/>
                <w:color w:val="000000"/>
              </w:rPr>
            </w:pPr>
            <w:r w:rsidRPr="0082290B">
              <w:rPr>
                <w:rFonts w:cs="Arial"/>
                <w:color w:val="000000" w:themeColor="text1"/>
              </w:rPr>
              <w:t xml:space="preserve">3,386 </w:t>
            </w:r>
          </w:p>
        </w:tc>
        <w:tc>
          <w:tcPr>
            <w:tcW w:w="1276" w:type="dxa"/>
            <w:tcBorders>
              <w:top w:val="nil"/>
              <w:left w:val="nil"/>
              <w:bottom w:val="single" w:sz="4" w:space="0" w:color="auto"/>
              <w:right w:val="single" w:sz="4" w:space="0" w:color="auto"/>
            </w:tcBorders>
            <w:shd w:val="clear" w:color="auto" w:fill="auto"/>
            <w:noWrap/>
            <w:vAlign w:val="center"/>
          </w:tcPr>
          <w:p w14:paraId="2EC4F235" w14:textId="52341BEB" w:rsidR="000D3E7D" w:rsidRPr="006E028D" w:rsidRDefault="000D3E7D" w:rsidP="110985B9">
            <w:pPr>
              <w:spacing w:after="0"/>
              <w:jc w:val="right"/>
              <w:rPr>
                <w:rFonts w:cs="Arial"/>
                <w:color w:val="000000"/>
              </w:rPr>
            </w:pPr>
            <w:r w:rsidRPr="0082290B">
              <w:rPr>
                <w:rFonts w:cs="Arial"/>
                <w:color w:val="000000" w:themeColor="text1"/>
              </w:rPr>
              <w:t xml:space="preserve">504 </w:t>
            </w:r>
          </w:p>
        </w:tc>
        <w:tc>
          <w:tcPr>
            <w:tcW w:w="1477" w:type="dxa"/>
            <w:tcBorders>
              <w:top w:val="nil"/>
              <w:left w:val="nil"/>
              <w:bottom w:val="single" w:sz="4" w:space="0" w:color="auto"/>
              <w:right w:val="single" w:sz="4" w:space="0" w:color="auto"/>
            </w:tcBorders>
            <w:shd w:val="clear" w:color="auto" w:fill="auto"/>
            <w:noWrap/>
            <w:vAlign w:val="center"/>
          </w:tcPr>
          <w:p w14:paraId="61E48E2B" w14:textId="3F007705" w:rsidR="000D3E7D" w:rsidRPr="006E028D" w:rsidRDefault="000D3E7D" w:rsidP="110985B9">
            <w:pPr>
              <w:spacing w:after="0"/>
              <w:jc w:val="right"/>
              <w:rPr>
                <w:rFonts w:cs="Arial"/>
                <w:color w:val="000000"/>
              </w:rPr>
            </w:pPr>
            <w:r w:rsidRPr="0082290B">
              <w:rPr>
                <w:rFonts w:cs="Arial"/>
                <w:color w:val="000000" w:themeColor="text1"/>
              </w:rPr>
              <w:t>0.3%</w:t>
            </w:r>
          </w:p>
        </w:tc>
      </w:tr>
      <w:tr w:rsidR="000D3E7D" w:rsidRPr="00537E40" w14:paraId="6737E275"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7132CE11" w14:textId="00EAEAF5" w:rsidR="000D3E7D" w:rsidRDefault="000D3E7D" w:rsidP="110985B9">
            <w:pPr>
              <w:spacing w:after="0" w:line="240" w:lineRule="auto"/>
              <w:rPr>
                <w:rFonts w:cs="Arial"/>
                <w:b/>
                <w:bCs/>
                <w:color w:val="000000"/>
              </w:rPr>
            </w:pPr>
            <w:r w:rsidRPr="0082290B">
              <w:rPr>
                <w:rFonts w:cs="Arial"/>
                <w:b/>
                <w:bCs/>
                <w:color w:val="000000" w:themeColor="text1"/>
              </w:rPr>
              <w:t>Rental and hiring services</w:t>
            </w:r>
          </w:p>
        </w:tc>
        <w:tc>
          <w:tcPr>
            <w:tcW w:w="1304" w:type="dxa"/>
            <w:tcBorders>
              <w:top w:val="nil"/>
              <w:left w:val="nil"/>
              <w:bottom w:val="single" w:sz="4" w:space="0" w:color="auto"/>
              <w:right w:val="single" w:sz="4" w:space="0" w:color="auto"/>
            </w:tcBorders>
            <w:shd w:val="clear" w:color="auto" w:fill="auto"/>
            <w:noWrap/>
            <w:vAlign w:val="center"/>
          </w:tcPr>
          <w:p w14:paraId="13A64056" w14:textId="22047E7F" w:rsidR="000D3E7D" w:rsidRPr="006E028D" w:rsidRDefault="000D3E7D" w:rsidP="110985B9">
            <w:pPr>
              <w:spacing w:after="0"/>
              <w:jc w:val="right"/>
              <w:rPr>
                <w:rFonts w:cs="Arial"/>
                <w:color w:val="000000"/>
              </w:rPr>
            </w:pPr>
            <w:r w:rsidRPr="0082290B">
              <w:rPr>
                <w:rFonts w:cs="Arial"/>
                <w:color w:val="000000" w:themeColor="text1"/>
              </w:rPr>
              <w:t xml:space="preserve">363 </w:t>
            </w:r>
          </w:p>
        </w:tc>
        <w:tc>
          <w:tcPr>
            <w:tcW w:w="1304" w:type="dxa"/>
            <w:tcBorders>
              <w:top w:val="nil"/>
              <w:left w:val="nil"/>
              <w:bottom w:val="single" w:sz="4" w:space="0" w:color="auto"/>
              <w:right w:val="single" w:sz="4" w:space="0" w:color="auto"/>
            </w:tcBorders>
            <w:shd w:val="clear" w:color="auto" w:fill="auto"/>
            <w:noWrap/>
            <w:vAlign w:val="center"/>
          </w:tcPr>
          <w:p w14:paraId="7356317E" w14:textId="2398E4C5" w:rsidR="000D3E7D" w:rsidRPr="006E028D" w:rsidRDefault="000D3E7D" w:rsidP="110985B9">
            <w:pPr>
              <w:spacing w:after="0"/>
              <w:jc w:val="right"/>
              <w:rPr>
                <w:rFonts w:cs="Arial"/>
                <w:color w:val="000000"/>
              </w:rPr>
            </w:pPr>
            <w:r w:rsidRPr="0082290B">
              <w:rPr>
                <w:rFonts w:cs="Arial"/>
                <w:color w:val="000000" w:themeColor="text1"/>
              </w:rPr>
              <w:t xml:space="preserve">520 </w:t>
            </w:r>
          </w:p>
        </w:tc>
        <w:tc>
          <w:tcPr>
            <w:tcW w:w="1272" w:type="dxa"/>
            <w:tcBorders>
              <w:top w:val="nil"/>
              <w:left w:val="nil"/>
              <w:bottom w:val="single" w:sz="4" w:space="0" w:color="auto"/>
              <w:right w:val="single" w:sz="4" w:space="0" w:color="auto"/>
            </w:tcBorders>
            <w:shd w:val="clear" w:color="auto" w:fill="auto"/>
            <w:noWrap/>
            <w:vAlign w:val="center"/>
          </w:tcPr>
          <w:p w14:paraId="0A8BC7D5" w14:textId="77C0740D" w:rsidR="000D3E7D" w:rsidRPr="006E028D" w:rsidRDefault="000D3E7D" w:rsidP="110985B9">
            <w:pPr>
              <w:spacing w:after="0"/>
              <w:jc w:val="right"/>
              <w:rPr>
                <w:rFonts w:cs="Arial"/>
                <w:color w:val="000000"/>
              </w:rPr>
            </w:pPr>
            <w:r w:rsidRPr="0082290B">
              <w:rPr>
                <w:rFonts w:cs="Arial"/>
                <w:color w:val="000000" w:themeColor="text1"/>
              </w:rPr>
              <w:t xml:space="preserve">567 </w:t>
            </w:r>
          </w:p>
        </w:tc>
        <w:tc>
          <w:tcPr>
            <w:tcW w:w="1276" w:type="dxa"/>
            <w:tcBorders>
              <w:top w:val="nil"/>
              <w:left w:val="nil"/>
              <w:bottom w:val="single" w:sz="4" w:space="0" w:color="auto"/>
              <w:right w:val="single" w:sz="4" w:space="0" w:color="auto"/>
            </w:tcBorders>
            <w:shd w:val="clear" w:color="auto" w:fill="auto"/>
            <w:noWrap/>
            <w:vAlign w:val="center"/>
          </w:tcPr>
          <w:p w14:paraId="5D313D1D" w14:textId="71FD7328" w:rsidR="000D3E7D" w:rsidRPr="006E028D" w:rsidRDefault="000D3E7D" w:rsidP="110985B9">
            <w:pPr>
              <w:spacing w:after="0"/>
              <w:jc w:val="right"/>
              <w:rPr>
                <w:rFonts w:cs="Arial"/>
                <w:color w:val="000000"/>
              </w:rPr>
            </w:pPr>
            <w:r w:rsidRPr="0082290B">
              <w:rPr>
                <w:rFonts w:cs="Arial"/>
                <w:color w:val="000000" w:themeColor="text1"/>
              </w:rPr>
              <w:t xml:space="preserve">204 </w:t>
            </w:r>
          </w:p>
        </w:tc>
        <w:tc>
          <w:tcPr>
            <w:tcW w:w="1477" w:type="dxa"/>
            <w:tcBorders>
              <w:top w:val="nil"/>
              <w:left w:val="nil"/>
              <w:bottom w:val="single" w:sz="4" w:space="0" w:color="auto"/>
              <w:right w:val="single" w:sz="4" w:space="0" w:color="auto"/>
            </w:tcBorders>
            <w:shd w:val="clear" w:color="auto" w:fill="auto"/>
            <w:noWrap/>
            <w:vAlign w:val="center"/>
          </w:tcPr>
          <w:p w14:paraId="73A98537" w14:textId="3D3B176C" w:rsidR="000D3E7D" w:rsidRPr="006E028D" w:rsidRDefault="000D3E7D" w:rsidP="110985B9">
            <w:pPr>
              <w:spacing w:after="0"/>
              <w:jc w:val="right"/>
              <w:rPr>
                <w:rFonts w:cs="Arial"/>
                <w:color w:val="000000"/>
              </w:rPr>
            </w:pPr>
            <w:r w:rsidRPr="0082290B">
              <w:rPr>
                <w:rFonts w:cs="Arial"/>
                <w:color w:val="000000" w:themeColor="text1"/>
              </w:rPr>
              <w:t>0.1%</w:t>
            </w:r>
          </w:p>
        </w:tc>
      </w:tr>
      <w:tr w:rsidR="000D3E7D" w:rsidRPr="00537E40" w14:paraId="129B787C"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2435C125" w14:textId="2E3002E4" w:rsidR="000D3E7D" w:rsidRDefault="000D3E7D" w:rsidP="110985B9">
            <w:pPr>
              <w:spacing w:after="0" w:line="240" w:lineRule="auto"/>
              <w:rPr>
                <w:rFonts w:cs="Arial"/>
                <w:b/>
                <w:bCs/>
                <w:color w:val="000000"/>
              </w:rPr>
            </w:pPr>
            <w:r w:rsidRPr="0082290B">
              <w:rPr>
                <w:rFonts w:cs="Arial"/>
                <w:b/>
                <w:bCs/>
                <w:color w:val="000000" w:themeColor="text1"/>
              </w:rPr>
              <w:t xml:space="preserve">Electricity, gas, </w:t>
            </w:r>
            <w:proofErr w:type="gramStart"/>
            <w:r w:rsidRPr="0082290B">
              <w:rPr>
                <w:rFonts w:cs="Arial"/>
                <w:b/>
                <w:bCs/>
                <w:color w:val="000000" w:themeColor="text1"/>
              </w:rPr>
              <w:t>water</w:t>
            </w:r>
            <w:proofErr w:type="gramEnd"/>
            <w:r w:rsidRPr="0082290B">
              <w:rPr>
                <w:rFonts w:cs="Arial"/>
                <w:b/>
                <w:bCs/>
                <w:color w:val="000000" w:themeColor="text1"/>
              </w:rPr>
              <w:t xml:space="preserve"> and waste services</w:t>
            </w:r>
          </w:p>
        </w:tc>
        <w:tc>
          <w:tcPr>
            <w:tcW w:w="1304" w:type="dxa"/>
            <w:tcBorders>
              <w:top w:val="nil"/>
              <w:left w:val="nil"/>
              <w:bottom w:val="single" w:sz="4" w:space="0" w:color="auto"/>
              <w:right w:val="single" w:sz="4" w:space="0" w:color="auto"/>
            </w:tcBorders>
            <w:shd w:val="clear" w:color="auto" w:fill="auto"/>
            <w:noWrap/>
            <w:vAlign w:val="center"/>
          </w:tcPr>
          <w:p w14:paraId="7C644BAD" w14:textId="2AA5E134" w:rsidR="000D3E7D" w:rsidRPr="006E028D" w:rsidRDefault="000D3E7D" w:rsidP="110985B9">
            <w:pPr>
              <w:spacing w:after="0"/>
              <w:jc w:val="right"/>
              <w:rPr>
                <w:rFonts w:cs="Arial"/>
                <w:color w:val="000000"/>
              </w:rPr>
            </w:pPr>
            <w:r w:rsidRPr="0082290B">
              <w:rPr>
                <w:rFonts w:cs="Arial"/>
                <w:color w:val="000000" w:themeColor="text1"/>
              </w:rPr>
              <w:t xml:space="preserve">      12,152 </w:t>
            </w:r>
          </w:p>
        </w:tc>
        <w:tc>
          <w:tcPr>
            <w:tcW w:w="1304" w:type="dxa"/>
            <w:tcBorders>
              <w:top w:val="nil"/>
              <w:left w:val="nil"/>
              <w:bottom w:val="single" w:sz="4" w:space="0" w:color="auto"/>
              <w:right w:val="single" w:sz="4" w:space="0" w:color="auto"/>
            </w:tcBorders>
            <w:shd w:val="clear" w:color="auto" w:fill="auto"/>
            <w:noWrap/>
            <w:vAlign w:val="center"/>
          </w:tcPr>
          <w:p w14:paraId="2FECEC69" w14:textId="2547CB30" w:rsidR="000D3E7D" w:rsidRPr="006E028D" w:rsidRDefault="000D3E7D" w:rsidP="110985B9">
            <w:pPr>
              <w:spacing w:after="0"/>
              <w:jc w:val="right"/>
              <w:rPr>
                <w:rFonts w:cs="Arial"/>
                <w:color w:val="000000"/>
              </w:rPr>
            </w:pPr>
            <w:r w:rsidRPr="0082290B">
              <w:rPr>
                <w:rFonts w:cs="Arial"/>
                <w:color w:val="000000" w:themeColor="text1"/>
              </w:rPr>
              <w:t xml:space="preserve">11,641 </w:t>
            </w:r>
          </w:p>
        </w:tc>
        <w:tc>
          <w:tcPr>
            <w:tcW w:w="1272" w:type="dxa"/>
            <w:tcBorders>
              <w:top w:val="nil"/>
              <w:left w:val="nil"/>
              <w:bottom w:val="single" w:sz="4" w:space="0" w:color="auto"/>
              <w:right w:val="single" w:sz="4" w:space="0" w:color="auto"/>
            </w:tcBorders>
            <w:shd w:val="clear" w:color="auto" w:fill="auto"/>
            <w:noWrap/>
            <w:vAlign w:val="center"/>
          </w:tcPr>
          <w:p w14:paraId="747A4AC7" w14:textId="04DDBBA6" w:rsidR="000D3E7D" w:rsidRPr="006E028D" w:rsidRDefault="000D3E7D" w:rsidP="110985B9">
            <w:pPr>
              <w:spacing w:after="0"/>
              <w:jc w:val="right"/>
              <w:rPr>
                <w:rFonts w:cs="Arial"/>
                <w:color w:val="000000"/>
              </w:rPr>
            </w:pPr>
            <w:r w:rsidRPr="0082290B">
              <w:rPr>
                <w:rFonts w:cs="Arial"/>
                <w:color w:val="000000" w:themeColor="text1"/>
              </w:rPr>
              <w:t xml:space="preserve">12,299 </w:t>
            </w:r>
          </w:p>
        </w:tc>
        <w:tc>
          <w:tcPr>
            <w:tcW w:w="1276" w:type="dxa"/>
            <w:tcBorders>
              <w:top w:val="nil"/>
              <w:left w:val="nil"/>
              <w:bottom w:val="single" w:sz="4" w:space="0" w:color="auto"/>
              <w:right w:val="single" w:sz="4" w:space="0" w:color="auto"/>
            </w:tcBorders>
            <w:shd w:val="clear" w:color="auto" w:fill="auto"/>
            <w:noWrap/>
            <w:vAlign w:val="center"/>
          </w:tcPr>
          <w:p w14:paraId="571652E5" w14:textId="065799B9" w:rsidR="000D3E7D" w:rsidRPr="006E028D" w:rsidRDefault="000D3E7D" w:rsidP="110985B9">
            <w:pPr>
              <w:spacing w:after="0"/>
              <w:jc w:val="right"/>
              <w:rPr>
                <w:rFonts w:cs="Arial"/>
                <w:color w:val="000000"/>
              </w:rPr>
            </w:pPr>
            <w:r w:rsidRPr="0082290B">
              <w:rPr>
                <w:rFonts w:cs="Arial"/>
                <w:color w:val="000000" w:themeColor="text1"/>
              </w:rPr>
              <w:t xml:space="preserve">147 </w:t>
            </w:r>
          </w:p>
        </w:tc>
        <w:tc>
          <w:tcPr>
            <w:tcW w:w="1477" w:type="dxa"/>
            <w:tcBorders>
              <w:top w:val="nil"/>
              <w:left w:val="nil"/>
              <w:bottom w:val="single" w:sz="4" w:space="0" w:color="auto"/>
              <w:right w:val="single" w:sz="4" w:space="0" w:color="auto"/>
            </w:tcBorders>
            <w:shd w:val="clear" w:color="auto" w:fill="auto"/>
            <w:noWrap/>
            <w:vAlign w:val="center"/>
          </w:tcPr>
          <w:p w14:paraId="4DB88635" w14:textId="3E383B27" w:rsidR="000D3E7D" w:rsidRPr="006E028D" w:rsidRDefault="000D3E7D" w:rsidP="110985B9">
            <w:pPr>
              <w:spacing w:after="0"/>
              <w:jc w:val="right"/>
              <w:rPr>
                <w:rFonts w:cs="Arial"/>
                <w:color w:val="000000"/>
              </w:rPr>
            </w:pPr>
            <w:r w:rsidRPr="0082290B">
              <w:rPr>
                <w:rFonts w:cs="Arial"/>
                <w:color w:val="000000" w:themeColor="text1"/>
              </w:rPr>
              <w:t>0.1%</w:t>
            </w:r>
          </w:p>
        </w:tc>
      </w:tr>
      <w:tr w:rsidR="000D3E7D" w:rsidRPr="00537E40" w14:paraId="7A7D56D1"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0724F70F" w14:textId="57C96C04" w:rsidR="000D3E7D" w:rsidRDefault="000D3E7D" w:rsidP="110985B9">
            <w:pPr>
              <w:spacing w:after="0" w:line="240" w:lineRule="auto"/>
              <w:rPr>
                <w:rFonts w:cs="Arial"/>
                <w:b/>
                <w:bCs/>
                <w:color w:val="000000"/>
              </w:rPr>
            </w:pPr>
            <w:r w:rsidRPr="0082290B">
              <w:rPr>
                <w:rFonts w:cs="Arial"/>
                <w:b/>
                <w:bCs/>
                <w:color w:val="000000" w:themeColor="text1"/>
              </w:rPr>
              <w:t>Wholesale trade</w:t>
            </w:r>
          </w:p>
        </w:tc>
        <w:tc>
          <w:tcPr>
            <w:tcW w:w="1304" w:type="dxa"/>
            <w:tcBorders>
              <w:top w:val="nil"/>
              <w:left w:val="nil"/>
              <w:bottom w:val="single" w:sz="4" w:space="0" w:color="auto"/>
              <w:right w:val="single" w:sz="4" w:space="0" w:color="auto"/>
            </w:tcBorders>
            <w:shd w:val="clear" w:color="auto" w:fill="auto"/>
            <w:noWrap/>
            <w:vAlign w:val="center"/>
          </w:tcPr>
          <w:p w14:paraId="6C2C59AC" w14:textId="4112FB5A" w:rsidR="000D3E7D" w:rsidRPr="006E028D" w:rsidRDefault="000D3E7D" w:rsidP="110985B9">
            <w:pPr>
              <w:spacing w:after="0"/>
              <w:jc w:val="right"/>
              <w:rPr>
                <w:rFonts w:cs="Arial"/>
                <w:color w:val="000000"/>
              </w:rPr>
            </w:pPr>
            <w:r w:rsidRPr="0082290B">
              <w:rPr>
                <w:rFonts w:cs="Arial"/>
                <w:color w:val="000000" w:themeColor="text1"/>
              </w:rPr>
              <w:t xml:space="preserve">        5,839 </w:t>
            </w:r>
          </w:p>
        </w:tc>
        <w:tc>
          <w:tcPr>
            <w:tcW w:w="1304" w:type="dxa"/>
            <w:tcBorders>
              <w:top w:val="nil"/>
              <w:left w:val="nil"/>
              <w:bottom w:val="single" w:sz="4" w:space="0" w:color="auto"/>
              <w:right w:val="single" w:sz="4" w:space="0" w:color="auto"/>
            </w:tcBorders>
            <w:shd w:val="clear" w:color="auto" w:fill="auto"/>
            <w:noWrap/>
            <w:vAlign w:val="center"/>
          </w:tcPr>
          <w:p w14:paraId="6FDCC20B" w14:textId="79883CB2" w:rsidR="000D3E7D" w:rsidRPr="006E028D" w:rsidRDefault="000D3E7D" w:rsidP="110985B9">
            <w:pPr>
              <w:spacing w:after="0"/>
              <w:jc w:val="right"/>
              <w:rPr>
                <w:rFonts w:cs="Arial"/>
                <w:color w:val="000000"/>
              </w:rPr>
            </w:pPr>
            <w:r w:rsidRPr="0082290B">
              <w:rPr>
                <w:rFonts w:cs="Arial"/>
                <w:color w:val="000000" w:themeColor="text1"/>
              </w:rPr>
              <w:t xml:space="preserve">5,747 </w:t>
            </w:r>
          </w:p>
        </w:tc>
        <w:tc>
          <w:tcPr>
            <w:tcW w:w="1272" w:type="dxa"/>
            <w:tcBorders>
              <w:top w:val="nil"/>
              <w:left w:val="nil"/>
              <w:bottom w:val="single" w:sz="4" w:space="0" w:color="auto"/>
              <w:right w:val="single" w:sz="4" w:space="0" w:color="auto"/>
            </w:tcBorders>
            <w:shd w:val="clear" w:color="auto" w:fill="auto"/>
            <w:noWrap/>
            <w:vAlign w:val="center"/>
          </w:tcPr>
          <w:p w14:paraId="314157F5" w14:textId="5F223408" w:rsidR="000D3E7D" w:rsidRPr="006E028D" w:rsidRDefault="000D3E7D" w:rsidP="110985B9">
            <w:pPr>
              <w:spacing w:after="0"/>
              <w:jc w:val="right"/>
              <w:rPr>
                <w:rFonts w:cs="Arial"/>
                <w:color w:val="000000"/>
              </w:rPr>
            </w:pPr>
            <w:r w:rsidRPr="0082290B">
              <w:rPr>
                <w:rFonts w:cs="Arial"/>
                <w:color w:val="000000" w:themeColor="text1"/>
              </w:rPr>
              <w:t xml:space="preserve">5,003 </w:t>
            </w:r>
          </w:p>
        </w:tc>
        <w:tc>
          <w:tcPr>
            <w:tcW w:w="1276" w:type="dxa"/>
            <w:tcBorders>
              <w:top w:val="nil"/>
              <w:left w:val="nil"/>
              <w:bottom w:val="single" w:sz="4" w:space="0" w:color="auto"/>
              <w:right w:val="single" w:sz="4" w:space="0" w:color="auto"/>
            </w:tcBorders>
            <w:shd w:val="clear" w:color="auto" w:fill="auto"/>
            <w:noWrap/>
            <w:vAlign w:val="center"/>
          </w:tcPr>
          <w:p w14:paraId="60E773E5" w14:textId="2BA89C55" w:rsidR="000D3E7D" w:rsidRPr="006E028D" w:rsidRDefault="000D3E7D" w:rsidP="110985B9">
            <w:pPr>
              <w:spacing w:after="0"/>
              <w:jc w:val="right"/>
              <w:rPr>
                <w:rFonts w:cs="Arial"/>
                <w:color w:val="000000"/>
              </w:rPr>
            </w:pPr>
            <w:r w:rsidRPr="0082290B">
              <w:rPr>
                <w:rFonts w:cs="Arial"/>
                <w:color w:val="000000" w:themeColor="text1"/>
              </w:rPr>
              <w:t xml:space="preserve">-836 </w:t>
            </w:r>
          </w:p>
        </w:tc>
        <w:tc>
          <w:tcPr>
            <w:tcW w:w="1477" w:type="dxa"/>
            <w:tcBorders>
              <w:top w:val="nil"/>
              <w:left w:val="nil"/>
              <w:bottom w:val="single" w:sz="4" w:space="0" w:color="auto"/>
              <w:right w:val="single" w:sz="4" w:space="0" w:color="auto"/>
            </w:tcBorders>
            <w:shd w:val="clear" w:color="auto" w:fill="auto"/>
            <w:noWrap/>
            <w:vAlign w:val="center"/>
          </w:tcPr>
          <w:p w14:paraId="4799A1C1" w14:textId="078F3039" w:rsidR="000D3E7D" w:rsidRPr="006E028D" w:rsidRDefault="000D3E7D" w:rsidP="110985B9">
            <w:pPr>
              <w:spacing w:after="0"/>
              <w:jc w:val="right"/>
              <w:rPr>
                <w:rFonts w:cs="Arial"/>
                <w:color w:val="000000"/>
              </w:rPr>
            </w:pPr>
            <w:r w:rsidRPr="0082290B">
              <w:rPr>
                <w:rFonts w:cs="Arial"/>
                <w:color w:val="000000" w:themeColor="text1"/>
              </w:rPr>
              <w:t>-0.4%</w:t>
            </w:r>
          </w:p>
        </w:tc>
      </w:tr>
      <w:tr w:rsidR="000D3E7D" w:rsidRPr="00537E40" w14:paraId="5CEFC653"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4A569D60" w14:textId="1675CC53" w:rsidR="000D3E7D" w:rsidRDefault="000D3E7D" w:rsidP="110985B9">
            <w:pPr>
              <w:spacing w:after="0" w:line="240" w:lineRule="auto"/>
              <w:rPr>
                <w:rFonts w:cs="Arial"/>
                <w:b/>
                <w:bCs/>
                <w:color w:val="000000"/>
              </w:rPr>
            </w:pPr>
            <w:r w:rsidRPr="0082290B">
              <w:rPr>
                <w:rFonts w:cs="Arial"/>
                <w:b/>
                <w:bCs/>
                <w:color w:val="000000" w:themeColor="text1"/>
              </w:rPr>
              <w:t>Manufacturing</w:t>
            </w:r>
          </w:p>
        </w:tc>
        <w:tc>
          <w:tcPr>
            <w:tcW w:w="1304" w:type="dxa"/>
            <w:tcBorders>
              <w:top w:val="nil"/>
              <w:left w:val="nil"/>
              <w:bottom w:val="single" w:sz="4" w:space="0" w:color="auto"/>
              <w:right w:val="single" w:sz="4" w:space="0" w:color="auto"/>
            </w:tcBorders>
            <w:shd w:val="clear" w:color="auto" w:fill="auto"/>
            <w:noWrap/>
            <w:vAlign w:val="center"/>
          </w:tcPr>
          <w:p w14:paraId="682B04B3" w14:textId="6F81D393" w:rsidR="000D3E7D" w:rsidRPr="006E028D" w:rsidRDefault="000D3E7D" w:rsidP="110985B9">
            <w:pPr>
              <w:spacing w:after="0"/>
              <w:jc w:val="right"/>
              <w:rPr>
                <w:rFonts w:cs="Arial"/>
                <w:color w:val="000000"/>
              </w:rPr>
            </w:pPr>
            <w:r w:rsidRPr="0082290B">
              <w:rPr>
                <w:rFonts w:cs="Arial"/>
                <w:color w:val="000000" w:themeColor="text1"/>
              </w:rPr>
              <w:t xml:space="preserve">      12,708 </w:t>
            </w:r>
          </w:p>
        </w:tc>
        <w:tc>
          <w:tcPr>
            <w:tcW w:w="1304" w:type="dxa"/>
            <w:tcBorders>
              <w:top w:val="nil"/>
              <w:left w:val="nil"/>
              <w:bottom w:val="single" w:sz="4" w:space="0" w:color="auto"/>
              <w:right w:val="single" w:sz="4" w:space="0" w:color="auto"/>
            </w:tcBorders>
            <w:shd w:val="clear" w:color="auto" w:fill="auto"/>
            <w:noWrap/>
            <w:vAlign w:val="center"/>
          </w:tcPr>
          <w:p w14:paraId="329CB8FF" w14:textId="6081A128" w:rsidR="000D3E7D" w:rsidRPr="006E028D" w:rsidRDefault="000D3E7D" w:rsidP="110985B9">
            <w:pPr>
              <w:spacing w:after="0"/>
              <w:jc w:val="right"/>
              <w:rPr>
                <w:rFonts w:cs="Arial"/>
                <w:color w:val="000000"/>
              </w:rPr>
            </w:pPr>
            <w:r w:rsidRPr="0082290B">
              <w:rPr>
                <w:rFonts w:cs="Arial"/>
                <w:color w:val="000000" w:themeColor="text1"/>
              </w:rPr>
              <w:t xml:space="preserve">12,017 </w:t>
            </w:r>
          </w:p>
        </w:tc>
        <w:tc>
          <w:tcPr>
            <w:tcW w:w="1272" w:type="dxa"/>
            <w:tcBorders>
              <w:top w:val="nil"/>
              <w:left w:val="nil"/>
              <w:bottom w:val="single" w:sz="4" w:space="0" w:color="auto"/>
              <w:right w:val="single" w:sz="4" w:space="0" w:color="auto"/>
            </w:tcBorders>
            <w:shd w:val="clear" w:color="auto" w:fill="auto"/>
            <w:noWrap/>
            <w:vAlign w:val="center"/>
          </w:tcPr>
          <w:p w14:paraId="7076235B" w14:textId="5D35EB06" w:rsidR="000D3E7D" w:rsidRPr="006E028D" w:rsidRDefault="000D3E7D" w:rsidP="110985B9">
            <w:pPr>
              <w:spacing w:after="0"/>
              <w:jc w:val="right"/>
              <w:rPr>
                <w:rFonts w:cs="Arial"/>
                <w:color w:val="000000"/>
              </w:rPr>
            </w:pPr>
            <w:r w:rsidRPr="0082290B">
              <w:rPr>
                <w:rFonts w:cs="Arial"/>
                <w:color w:val="000000" w:themeColor="text1"/>
              </w:rPr>
              <w:t xml:space="preserve">11,805 </w:t>
            </w:r>
          </w:p>
        </w:tc>
        <w:tc>
          <w:tcPr>
            <w:tcW w:w="1276" w:type="dxa"/>
            <w:tcBorders>
              <w:top w:val="nil"/>
              <w:left w:val="nil"/>
              <w:bottom w:val="single" w:sz="4" w:space="0" w:color="auto"/>
              <w:right w:val="single" w:sz="4" w:space="0" w:color="auto"/>
            </w:tcBorders>
            <w:shd w:val="clear" w:color="auto" w:fill="auto"/>
            <w:noWrap/>
            <w:vAlign w:val="center"/>
          </w:tcPr>
          <w:p w14:paraId="357DC8FD" w14:textId="18B77FA9" w:rsidR="000D3E7D" w:rsidRPr="006E028D" w:rsidRDefault="000D3E7D" w:rsidP="110985B9">
            <w:pPr>
              <w:spacing w:after="0"/>
              <w:jc w:val="right"/>
              <w:rPr>
                <w:rFonts w:cs="Arial"/>
                <w:color w:val="000000"/>
              </w:rPr>
            </w:pPr>
            <w:r w:rsidRPr="0082290B">
              <w:rPr>
                <w:rFonts w:cs="Arial"/>
                <w:color w:val="000000" w:themeColor="text1"/>
              </w:rPr>
              <w:t xml:space="preserve">-903 </w:t>
            </w:r>
          </w:p>
        </w:tc>
        <w:tc>
          <w:tcPr>
            <w:tcW w:w="1477" w:type="dxa"/>
            <w:tcBorders>
              <w:top w:val="nil"/>
              <w:left w:val="nil"/>
              <w:bottom w:val="single" w:sz="4" w:space="0" w:color="auto"/>
              <w:right w:val="single" w:sz="4" w:space="0" w:color="auto"/>
            </w:tcBorders>
            <w:shd w:val="clear" w:color="auto" w:fill="auto"/>
            <w:noWrap/>
            <w:vAlign w:val="center"/>
          </w:tcPr>
          <w:p w14:paraId="4618A9B6" w14:textId="6D33A424" w:rsidR="000D3E7D" w:rsidRPr="006E028D" w:rsidRDefault="000D3E7D" w:rsidP="110985B9">
            <w:pPr>
              <w:spacing w:after="0"/>
              <w:jc w:val="right"/>
              <w:rPr>
                <w:rFonts w:cs="Arial"/>
                <w:color w:val="000000"/>
              </w:rPr>
            </w:pPr>
            <w:r w:rsidRPr="0082290B">
              <w:rPr>
                <w:rFonts w:cs="Arial"/>
                <w:color w:val="000000" w:themeColor="text1"/>
              </w:rPr>
              <w:t>-0.5%</w:t>
            </w:r>
          </w:p>
        </w:tc>
      </w:tr>
      <w:tr w:rsidR="001B5DAD" w:rsidRPr="00537E40" w14:paraId="57558C4E" w14:textId="77777777" w:rsidTr="0082290B">
        <w:trPr>
          <w:trHeight w:val="340"/>
        </w:trPr>
        <w:tc>
          <w:tcPr>
            <w:tcW w:w="3061" w:type="dxa"/>
            <w:tcBorders>
              <w:top w:val="nil"/>
              <w:left w:val="single" w:sz="4" w:space="0" w:color="auto"/>
              <w:bottom w:val="single" w:sz="4" w:space="0" w:color="auto"/>
              <w:right w:val="single" w:sz="4" w:space="0" w:color="auto"/>
            </w:tcBorders>
            <w:shd w:val="clear" w:color="auto" w:fill="auto"/>
            <w:noWrap/>
            <w:vAlign w:val="center"/>
          </w:tcPr>
          <w:p w14:paraId="5EE0DD93" w14:textId="77777777" w:rsidR="001B5DAD" w:rsidRDefault="001B5DAD" w:rsidP="001B5DAD">
            <w:pPr>
              <w:spacing w:after="0" w:line="240" w:lineRule="auto"/>
              <w:rPr>
                <w:rFonts w:cs="Arial"/>
                <w:b/>
                <w:bCs/>
                <w:color w:val="000000"/>
                <w:szCs w:val="20"/>
              </w:rPr>
            </w:pPr>
            <w:r>
              <w:rPr>
                <w:rFonts w:cs="Arial"/>
                <w:b/>
                <w:bCs/>
                <w:color w:val="000000"/>
                <w:szCs w:val="20"/>
              </w:rPr>
              <w:t>Total (City of Melbourne)</w:t>
            </w:r>
          </w:p>
        </w:tc>
        <w:tc>
          <w:tcPr>
            <w:tcW w:w="1304" w:type="dxa"/>
            <w:tcBorders>
              <w:top w:val="nil"/>
              <w:left w:val="nil"/>
              <w:bottom w:val="single" w:sz="4" w:space="0" w:color="auto"/>
              <w:right w:val="single" w:sz="4" w:space="0" w:color="auto"/>
            </w:tcBorders>
            <w:shd w:val="clear" w:color="auto" w:fill="auto"/>
            <w:noWrap/>
            <w:vAlign w:val="center"/>
          </w:tcPr>
          <w:p w14:paraId="333CC1A1" w14:textId="47F5AB11" w:rsidR="001B5DAD" w:rsidRPr="00D55F4F" w:rsidRDefault="001B5DAD" w:rsidP="110985B9">
            <w:pPr>
              <w:spacing w:after="0"/>
              <w:jc w:val="right"/>
              <w:rPr>
                <w:rFonts w:cs="Arial"/>
                <w:b/>
                <w:bCs/>
                <w:color w:val="000000"/>
              </w:rPr>
            </w:pPr>
            <w:r w:rsidRPr="0082290B">
              <w:rPr>
                <w:rFonts w:cs="Arial"/>
                <w:b/>
                <w:bCs/>
                <w:color w:val="000000" w:themeColor="text1"/>
              </w:rPr>
              <w:t xml:space="preserve">      466,004 </w:t>
            </w:r>
          </w:p>
        </w:tc>
        <w:tc>
          <w:tcPr>
            <w:tcW w:w="1304" w:type="dxa"/>
            <w:tcBorders>
              <w:top w:val="nil"/>
              <w:left w:val="nil"/>
              <w:bottom w:val="single" w:sz="4" w:space="0" w:color="auto"/>
              <w:right w:val="single" w:sz="4" w:space="0" w:color="auto"/>
            </w:tcBorders>
            <w:shd w:val="clear" w:color="auto" w:fill="auto"/>
            <w:noWrap/>
            <w:vAlign w:val="center"/>
          </w:tcPr>
          <w:p w14:paraId="75F59266" w14:textId="05D29C8A" w:rsidR="001B5DAD" w:rsidRPr="00D55F4F" w:rsidRDefault="001B5DAD" w:rsidP="110985B9">
            <w:pPr>
              <w:spacing w:after="0"/>
              <w:jc w:val="right"/>
              <w:rPr>
                <w:rFonts w:cs="Arial"/>
                <w:b/>
                <w:bCs/>
                <w:color w:val="000000"/>
              </w:rPr>
            </w:pPr>
            <w:r w:rsidRPr="0082290B">
              <w:rPr>
                <w:rFonts w:cs="Arial"/>
                <w:b/>
                <w:bCs/>
                <w:color w:val="000000" w:themeColor="text1"/>
              </w:rPr>
              <w:t xml:space="preserve">      574,576 </w:t>
            </w:r>
          </w:p>
        </w:tc>
        <w:tc>
          <w:tcPr>
            <w:tcW w:w="1272" w:type="dxa"/>
            <w:tcBorders>
              <w:top w:val="nil"/>
              <w:left w:val="nil"/>
              <w:bottom w:val="single" w:sz="4" w:space="0" w:color="auto"/>
              <w:right w:val="single" w:sz="4" w:space="0" w:color="auto"/>
            </w:tcBorders>
            <w:shd w:val="clear" w:color="auto" w:fill="auto"/>
            <w:noWrap/>
            <w:vAlign w:val="center"/>
          </w:tcPr>
          <w:p w14:paraId="13FF7939" w14:textId="47B8AC06" w:rsidR="001B5DAD" w:rsidRPr="00D55F4F" w:rsidRDefault="001B5DAD" w:rsidP="110985B9">
            <w:pPr>
              <w:spacing w:after="0"/>
              <w:jc w:val="right"/>
              <w:rPr>
                <w:rFonts w:cs="Arial"/>
                <w:b/>
                <w:bCs/>
                <w:color w:val="000000"/>
              </w:rPr>
            </w:pPr>
            <w:r w:rsidRPr="0082290B">
              <w:rPr>
                <w:rFonts w:cs="Arial"/>
                <w:b/>
                <w:bCs/>
                <w:color w:val="000000" w:themeColor="text1"/>
              </w:rPr>
              <w:t xml:space="preserve">659,244 </w:t>
            </w:r>
          </w:p>
        </w:tc>
        <w:tc>
          <w:tcPr>
            <w:tcW w:w="1276" w:type="dxa"/>
            <w:tcBorders>
              <w:top w:val="nil"/>
              <w:left w:val="nil"/>
              <w:bottom w:val="single" w:sz="4" w:space="0" w:color="auto"/>
              <w:right w:val="single" w:sz="4" w:space="0" w:color="auto"/>
            </w:tcBorders>
            <w:shd w:val="clear" w:color="auto" w:fill="auto"/>
            <w:noWrap/>
            <w:vAlign w:val="center"/>
          </w:tcPr>
          <w:p w14:paraId="5A52757B" w14:textId="6BCE57FC" w:rsidR="001B5DAD" w:rsidRPr="00D55F4F" w:rsidRDefault="001B5DAD" w:rsidP="110985B9">
            <w:pPr>
              <w:spacing w:after="0"/>
              <w:jc w:val="right"/>
              <w:rPr>
                <w:rFonts w:cs="Arial"/>
                <w:b/>
                <w:bCs/>
                <w:color w:val="000000"/>
              </w:rPr>
            </w:pPr>
            <w:r w:rsidRPr="0082290B">
              <w:rPr>
                <w:rFonts w:cs="Arial"/>
                <w:b/>
                <w:bCs/>
                <w:color w:val="000000" w:themeColor="text1"/>
              </w:rPr>
              <w:t xml:space="preserve">193,241 </w:t>
            </w:r>
          </w:p>
        </w:tc>
        <w:tc>
          <w:tcPr>
            <w:tcW w:w="1477" w:type="dxa"/>
            <w:tcBorders>
              <w:top w:val="nil"/>
              <w:left w:val="nil"/>
              <w:bottom w:val="single" w:sz="4" w:space="0" w:color="auto"/>
              <w:right w:val="single" w:sz="4" w:space="0" w:color="auto"/>
            </w:tcBorders>
            <w:shd w:val="clear" w:color="auto" w:fill="auto"/>
            <w:noWrap/>
            <w:vAlign w:val="center"/>
          </w:tcPr>
          <w:p w14:paraId="424E0C57" w14:textId="77777777" w:rsidR="001B5DAD" w:rsidRDefault="001B5DAD" w:rsidP="001B5DAD">
            <w:pPr>
              <w:spacing w:after="0"/>
              <w:jc w:val="right"/>
              <w:rPr>
                <w:rFonts w:cs="Arial"/>
                <w:b/>
                <w:bCs/>
                <w:color w:val="000000"/>
                <w:szCs w:val="20"/>
              </w:rPr>
            </w:pPr>
            <w:r>
              <w:rPr>
                <w:rFonts w:cs="Arial"/>
                <w:b/>
                <w:bCs/>
                <w:color w:val="000000"/>
                <w:szCs w:val="20"/>
              </w:rPr>
              <w:t>100.0%</w:t>
            </w:r>
          </w:p>
        </w:tc>
      </w:tr>
    </w:tbl>
    <w:p w14:paraId="403EB29E" w14:textId="3B22B5FD" w:rsidR="007121A4" w:rsidRPr="00537E40" w:rsidRDefault="007121A4" w:rsidP="110985B9">
      <w:pPr>
        <w:spacing w:before="120"/>
        <w:rPr>
          <w:sz w:val="16"/>
          <w:szCs w:val="16"/>
        </w:rPr>
      </w:pPr>
      <w:r w:rsidRPr="110985B9">
        <w:rPr>
          <w:sz w:val="16"/>
          <w:szCs w:val="16"/>
        </w:rPr>
        <w:t>Source: SGS Economics and Planning, 202</w:t>
      </w:r>
      <w:r w:rsidR="001B5DAD" w:rsidRPr="110985B9">
        <w:rPr>
          <w:sz w:val="16"/>
          <w:szCs w:val="16"/>
        </w:rPr>
        <w:t>2</w:t>
      </w:r>
      <w:r w:rsidR="00345820" w:rsidRPr="110985B9">
        <w:rPr>
          <w:sz w:val="16"/>
          <w:szCs w:val="16"/>
        </w:rPr>
        <w:t xml:space="preserve">.  </w:t>
      </w:r>
      <w:r w:rsidR="00915EAC" w:rsidRPr="110985B9">
        <w:rPr>
          <w:sz w:val="16"/>
          <w:szCs w:val="16"/>
        </w:rPr>
        <w:t>Table shows rounded figures.</w:t>
      </w:r>
    </w:p>
    <w:p w14:paraId="2496F9D0" w14:textId="457AD66D" w:rsidR="004C6848" w:rsidRPr="00537E40" w:rsidRDefault="007121A4" w:rsidP="00E34073">
      <w:pPr>
        <w:pStyle w:val="Heading2"/>
        <w:rPr>
          <w:rFonts w:hint="eastAsia"/>
        </w:rPr>
      </w:pPr>
      <w:r w:rsidRPr="110985B9">
        <w:rPr>
          <w:sz w:val="16"/>
          <w:szCs w:val="16"/>
        </w:rPr>
        <w:br w:type="page"/>
      </w:r>
      <w:bookmarkStart w:id="31" w:name="_Toc119682399"/>
      <w:r w:rsidR="004C6848">
        <w:lastRenderedPageBreak/>
        <w:t>Floor space</w:t>
      </w:r>
      <w:r w:rsidR="00343CD2">
        <w:t xml:space="preserve"> (</w:t>
      </w:r>
      <w:r w:rsidR="00C55026">
        <w:t xml:space="preserve">‘000 </w:t>
      </w:r>
      <w:r w:rsidR="00343CD2">
        <w:t>sqm)</w:t>
      </w:r>
      <w:r w:rsidR="004C6848">
        <w:t xml:space="preserve"> by space use </w:t>
      </w:r>
      <w:r w:rsidR="00070E34">
        <w:t>2021</w:t>
      </w:r>
      <w:r w:rsidR="004C6848">
        <w:t xml:space="preserve">, </w:t>
      </w:r>
      <w:r w:rsidR="00070E34">
        <w:t xml:space="preserve">2031 </w:t>
      </w:r>
      <w:r w:rsidR="004C6848">
        <w:t xml:space="preserve">and </w:t>
      </w:r>
      <w:r w:rsidR="00070E34">
        <w:t>2041</w:t>
      </w:r>
      <w:bookmarkEnd w:id="31"/>
    </w:p>
    <w:tbl>
      <w:tblPr>
        <w:tblW w:w="9694" w:type="dxa"/>
        <w:tblLayout w:type="fixed"/>
        <w:tblLook w:val="04A0" w:firstRow="1" w:lastRow="0" w:firstColumn="1" w:lastColumn="0" w:noHBand="0" w:noVBand="1"/>
      </w:tblPr>
      <w:tblGrid>
        <w:gridCol w:w="3114"/>
        <w:gridCol w:w="1251"/>
        <w:gridCol w:w="1304"/>
        <w:gridCol w:w="1304"/>
        <w:gridCol w:w="1244"/>
        <w:gridCol w:w="1477"/>
      </w:tblGrid>
      <w:tr w:rsidR="00E57B1C" w:rsidRPr="00537E40" w14:paraId="66CF8DEC" w14:textId="77777777" w:rsidTr="110985B9">
        <w:trPr>
          <w:trHeight w:val="285"/>
        </w:trPr>
        <w:tc>
          <w:tcPr>
            <w:tcW w:w="3114" w:type="dxa"/>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1751DC95" w14:textId="77777777" w:rsidR="00E57B1C" w:rsidRPr="00B07612" w:rsidRDefault="00E57B1C" w:rsidP="00E57B1C">
            <w:pPr>
              <w:spacing w:after="0" w:line="240" w:lineRule="auto"/>
              <w:rPr>
                <w:rFonts w:eastAsia="Times New Roman" w:cs="Arial"/>
                <w:b/>
                <w:bCs/>
                <w:color w:val="000000"/>
                <w:szCs w:val="20"/>
                <w:lang w:eastAsia="en-AU"/>
              </w:rPr>
            </w:pPr>
            <w:r>
              <w:rPr>
                <w:rFonts w:eastAsia="Times New Roman" w:cs="Arial"/>
                <w:b/>
                <w:bCs/>
                <w:color w:val="000000"/>
                <w:szCs w:val="20"/>
                <w:lang w:eastAsia="en-AU"/>
              </w:rPr>
              <w:t>Space use</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4BFA4" w14:textId="777C4A13" w:rsidR="00E57B1C" w:rsidRPr="00B07612" w:rsidRDefault="00070E34"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2021</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CE372" w14:textId="52A7EDB1" w:rsidR="00E57B1C" w:rsidRPr="00B07612" w:rsidRDefault="00070E34"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2031</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9DDEE" w14:textId="10EEF4E3" w:rsidR="00E57B1C" w:rsidRPr="00B07612" w:rsidRDefault="00070E34"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2041</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14:paraId="5410CA82" w14:textId="2F38B955"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 xml:space="preserve">Change </w:t>
            </w:r>
            <w:r w:rsidR="00070E34" w:rsidRPr="110985B9">
              <w:rPr>
                <w:rFonts w:eastAsia="Times New Roman" w:cs="Arial"/>
                <w:b/>
                <w:bCs/>
                <w:color w:val="000000" w:themeColor="text1"/>
                <w:lang w:eastAsia="en-AU"/>
              </w:rPr>
              <w:t>2021</w:t>
            </w:r>
            <w:r w:rsidRPr="110985B9">
              <w:rPr>
                <w:rFonts w:eastAsia="Times New Roman" w:cs="Arial"/>
                <w:b/>
                <w:bCs/>
                <w:color w:val="000000" w:themeColor="text1"/>
                <w:lang w:eastAsia="en-AU"/>
              </w:rPr>
              <w:t>-</w:t>
            </w:r>
            <w:r w:rsidR="00070E34" w:rsidRPr="110985B9">
              <w:rPr>
                <w:rFonts w:eastAsia="Times New Roman" w:cs="Arial"/>
                <w:b/>
                <w:bCs/>
                <w:color w:val="000000" w:themeColor="text1"/>
                <w:lang w:eastAsia="en-AU"/>
              </w:rPr>
              <w:t>2041</w:t>
            </w:r>
          </w:p>
        </w:tc>
        <w:tc>
          <w:tcPr>
            <w:tcW w:w="1477" w:type="dxa"/>
            <w:tcBorders>
              <w:top w:val="single" w:sz="4" w:space="0" w:color="auto"/>
              <w:left w:val="nil"/>
              <w:bottom w:val="single" w:sz="4" w:space="0" w:color="auto"/>
              <w:right w:val="single" w:sz="4" w:space="0" w:color="auto"/>
            </w:tcBorders>
            <w:shd w:val="clear" w:color="auto" w:fill="auto"/>
            <w:vAlign w:val="center"/>
          </w:tcPr>
          <w:p w14:paraId="0FA62362" w14:textId="5A59A205" w:rsidR="00E57B1C" w:rsidRPr="00B07612" w:rsidRDefault="00E57B1C" w:rsidP="110985B9">
            <w:pPr>
              <w:spacing w:after="0" w:line="240" w:lineRule="auto"/>
              <w:jc w:val="center"/>
              <w:rPr>
                <w:rFonts w:eastAsia="Times New Roman" w:cs="Arial"/>
                <w:b/>
                <w:bCs/>
                <w:color w:val="000000"/>
                <w:lang w:eastAsia="en-AU"/>
              </w:rPr>
            </w:pPr>
            <w:r w:rsidRPr="110985B9">
              <w:rPr>
                <w:rFonts w:eastAsia="Times New Roman" w:cs="Arial"/>
                <w:b/>
                <w:bCs/>
                <w:color w:val="000000" w:themeColor="text1"/>
                <w:lang w:eastAsia="en-AU"/>
              </w:rPr>
              <w:t xml:space="preserve">Contribution to Growth </w:t>
            </w:r>
            <w:r w:rsidR="00070E34" w:rsidRPr="110985B9">
              <w:rPr>
                <w:rFonts w:eastAsia="Times New Roman" w:cs="Arial"/>
                <w:b/>
                <w:bCs/>
                <w:color w:val="000000" w:themeColor="text1"/>
                <w:lang w:eastAsia="en-AU"/>
              </w:rPr>
              <w:t>2021</w:t>
            </w:r>
            <w:r w:rsidRPr="110985B9">
              <w:rPr>
                <w:rFonts w:eastAsia="Times New Roman" w:cs="Arial"/>
                <w:b/>
                <w:bCs/>
                <w:color w:val="000000" w:themeColor="text1"/>
                <w:lang w:eastAsia="en-AU"/>
              </w:rPr>
              <w:t>-</w:t>
            </w:r>
            <w:r w:rsidR="00070E34" w:rsidRPr="110985B9">
              <w:rPr>
                <w:rFonts w:eastAsia="Times New Roman" w:cs="Arial"/>
                <w:b/>
                <w:bCs/>
                <w:color w:val="000000" w:themeColor="text1"/>
                <w:lang w:eastAsia="en-AU"/>
              </w:rPr>
              <w:t>2041</w:t>
            </w:r>
          </w:p>
        </w:tc>
      </w:tr>
      <w:tr w:rsidR="00D84DF5" w:rsidRPr="00537E40" w14:paraId="1FF41C0F" w14:textId="77777777" w:rsidTr="004973A9">
        <w:trPr>
          <w:trHeight w:val="34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0C13AE97" w14:textId="77777777" w:rsidR="00D84DF5" w:rsidRDefault="00D84DF5">
            <w:pPr>
              <w:spacing w:after="0"/>
              <w:rPr>
                <w:rFonts w:cs="Arial"/>
                <w:b/>
                <w:bCs/>
                <w:color w:val="000000"/>
                <w:szCs w:val="20"/>
              </w:rPr>
            </w:pPr>
            <w:r>
              <w:rPr>
                <w:rFonts w:cs="Arial"/>
                <w:b/>
                <w:bCs/>
                <w:color w:val="000000"/>
                <w:szCs w:val="20"/>
              </w:rPr>
              <w:t>Residential</w:t>
            </w:r>
          </w:p>
        </w:tc>
        <w:tc>
          <w:tcPr>
            <w:tcW w:w="1251" w:type="dxa"/>
            <w:tcBorders>
              <w:top w:val="nil"/>
              <w:left w:val="nil"/>
              <w:bottom w:val="single" w:sz="4" w:space="0" w:color="auto"/>
              <w:right w:val="single" w:sz="4" w:space="0" w:color="auto"/>
            </w:tcBorders>
            <w:shd w:val="clear" w:color="auto" w:fill="auto"/>
            <w:noWrap/>
            <w:vAlign w:val="center"/>
          </w:tcPr>
          <w:p w14:paraId="10219CF8" w14:textId="01EA63CF" w:rsidR="00D84DF5" w:rsidRPr="004973A9" w:rsidRDefault="00D84DF5">
            <w:pPr>
              <w:spacing w:after="0"/>
              <w:jc w:val="right"/>
              <w:rPr>
                <w:rFonts w:cs="Arial"/>
                <w:color w:val="000000" w:themeColor="text1"/>
              </w:rPr>
            </w:pPr>
            <w:r w:rsidRPr="004973A9">
              <w:rPr>
                <w:rFonts w:cs="Arial"/>
                <w:color w:val="000000" w:themeColor="text1"/>
              </w:rPr>
              <w:t xml:space="preserve">8,569 </w:t>
            </w:r>
          </w:p>
        </w:tc>
        <w:tc>
          <w:tcPr>
            <w:tcW w:w="1304" w:type="dxa"/>
            <w:tcBorders>
              <w:top w:val="nil"/>
              <w:left w:val="nil"/>
              <w:bottom w:val="single" w:sz="4" w:space="0" w:color="auto"/>
              <w:right w:val="single" w:sz="4" w:space="0" w:color="auto"/>
            </w:tcBorders>
            <w:shd w:val="clear" w:color="auto" w:fill="auto"/>
            <w:noWrap/>
            <w:vAlign w:val="center"/>
          </w:tcPr>
          <w:p w14:paraId="46050902" w14:textId="1803BE10" w:rsidR="00D84DF5" w:rsidRPr="004973A9" w:rsidRDefault="00D84DF5">
            <w:pPr>
              <w:spacing w:after="0"/>
              <w:jc w:val="right"/>
              <w:rPr>
                <w:rFonts w:cs="Arial"/>
                <w:color w:val="000000" w:themeColor="text1"/>
              </w:rPr>
            </w:pPr>
            <w:r w:rsidRPr="004973A9">
              <w:rPr>
                <w:rFonts w:cs="Arial"/>
                <w:color w:val="000000" w:themeColor="text1"/>
              </w:rPr>
              <w:t xml:space="preserve">9,653 </w:t>
            </w:r>
          </w:p>
        </w:tc>
        <w:tc>
          <w:tcPr>
            <w:tcW w:w="1304" w:type="dxa"/>
            <w:tcBorders>
              <w:top w:val="nil"/>
              <w:left w:val="nil"/>
              <w:bottom w:val="single" w:sz="4" w:space="0" w:color="auto"/>
              <w:right w:val="single" w:sz="4" w:space="0" w:color="auto"/>
            </w:tcBorders>
            <w:shd w:val="clear" w:color="auto" w:fill="auto"/>
            <w:noWrap/>
            <w:vAlign w:val="center"/>
          </w:tcPr>
          <w:p w14:paraId="63724C32" w14:textId="629F38B1" w:rsidR="00D84DF5" w:rsidRPr="004973A9" w:rsidRDefault="00D84DF5">
            <w:pPr>
              <w:spacing w:after="0"/>
              <w:jc w:val="right"/>
              <w:rPr>
                <w:rFonts w:cs="Arial"/>
                <w:color w:val="000000" w:themeColor="text1"/>
              </w:rPr>
            </w:pPr>
            <w:r w:rsidRPr="004973A9">
              <w:rPr>
                <w:rFonts w:cs="Arial"/>
                <w:color w:val="000000" w:themeColor="text1"/>
              </w:rPr>
              <w:t xml:space="preserve">    11,287 </w:t>
            </w:r>
          </w:p>
        </w:tc>
        <w:tc>
          <w:tcPr>
            <w:tcW w:w="1244" w:type="dxa"/>
            <w:tcBorders>
              <w:top w:val="nil"/>
              <w:left w:val="nil"/>
              <w:bottom w:val="single" w:sz="4" w:space="0" w:color="auto"/>
              <w:right w:val="single" w:sz="4" w:space="0" w:color="auto"/>
            </w:tcBorders>
            <w:shd w:val="clear" w:color="auto" w:fill="auto"/>
            <w:noWrap/>
            <w:vAlign w:val="center"/>
          </w:tcPr>
          <w:p w14:paraId="4F00C82A" w14:textId="114EB6B8" w:rsidR="00D84DF5" w:rsidRPr="004973A9" w:rsidRDefault="00D84DF5">
            <w:pPr>
              <w:spacing w:after="0"/>
              <w:jc w:val="right"/>
              <w:rPr>
                <w:rFonts w:cs="Arial"/>
                <w:color w:val="000000" w:themeColor="text1"/>
              </w:rPr>
            </w:pPr>
            <w:r w:rsidRPr="004973A9">
              <w:rPr>
                <w:rFonts w:cs="Arial"/>
                <w:color w:val="000000" w:themeColor="text1"/>
              </w:rPr>
              <w:t xml:space="preserve">2,717 </w:t>
            </w:r>
          </w:p>
        </w:tc>
        <w:tc>
          <w:tcPr>
            <w:tcW w:w="1477" w:type="dxa"/>
            <w:tcBorders>
              <w:top w:val="nil"/>
              <w:left w:val="nil"/>
              <w:bottom w:val="single" w:sz="4" w:space="0" w:color="auto"/>
              <w:right w:val="single" w:sz="4" w:space="0" w:color="auto"/>
            </w:tcBorders>
            <w:shd w:val="clear" w:color="auto" w:fill="auto"/>
            <w:noWrap/>
            <w:vAlign w:val="center"/>
          </w:tcPr>
          <w:p w14:paraId="01A12B89" w14:textId="13C47136" w:rsidR="00D84DF5" w:rsidRPr="004973A9" w:rsidRDefault="00D84DF5">
            <w:pPr>
              <w:spacing w:after="0"/>
              <w:jc w:val="right"/>
              <w:rPr>
                <w:rFonts w:cs="Arial"/>
                <w:color w:val="000000" w:themeColor="text1"/>
              </w:rPr>
            </w:pPr>
            <w:r w:rsidRPr="004973A9">
              <w:rPr>
                <w:rFonts w:cs="Arial"/>
                <w:color w:val="000000" w:themeColor="text1"/>
              </w:rPr>
              <w:t>43%</w:t>
            </w:r>
          </w:p>
        </w:tc>
      </w:tr>
      <w:tr w:rsidR="00D84DF5" w:rsidRPr="00537E40" w14:paraId="502592BD" w14:textId="77777777" w:rsidTr="004973A9">
        <w:trPr>
          <w:trHeight w:val="34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34B5983A" w14:textId="77777777" w:rsidR="00D84DF5" w:rsidRDefault="00D84DF5">
            <w:pPr>
              <w:spacing w:after="0" w:line="240" w:lineRule="auto"/>
              <w:rPr>
                <w:rFonts w:cs="Arial"/>
                <w:b/>
                <w:bCs/>
                <w:color w:val="000000"/>
                <w:szCs w:val="20"/>
                <w:lang w:eastAsia="en-AU"/>
              </w:rPr>
            </w:pPr>
            <w:r>
              <w:rPr>
                <w:rFonts w:cs="Arial"/>
                <w:b/>
                <w:bCs/>
                <w:color w:val="000000"/>
                <w:szCs w:val="20"/>
              </w:rPr>
              <w:t>Office</w:t>
            </w:r>
          </w:p>
        </w:tc>
        <w:tc>
          <w:tcPr>
            <w:tcW w:w="1251" w:type="dxa"/>
            <w:tcBorders>
              <w:top w:val="nil"/>
              <w:left w:val="nil"/>
              <w:bottom w:val="single" w:sz="4" w:space="0" w:color="auto"/>
              <w:right w:val="single" w:sz="4" w:space="0" w:color="auto"/>
            </w:tcBorders>
            <w:shd w:val="clear" w:color="auto" w:fill="auto"/>
            <w:noWrap/>
            <w:vAlign w:val="center"/>
          </w:tcPr>
          <w:p w14:paraId="0481FA77" w14:textId="7237D937" w:rsidR="00D84DF5" w:rsidRPr="004973A9" w:rsidRDefault="00D84DF5">
            <w:pPr>
              <w:spacing w:after="0"/>
              <w:jc w:val="right"/>
              <w:rPr>
                <w:rFonts w:cs="Arial"/>
                <w:color w:val="000000" w:themeColor="text1"/>
              </w:rPr>
            </w:pPr>
            <w:r w:rsidRPr="004973A9">
              <w:rPr>
                <w:rFonts w:cs="Arial"/>
                <w:color w:val="000000" w:themeColor="text1"/>
              </w:rPr>
              <w:t xml:space="preserve">5,597 </w:t>
            </w:r>
          </w:p>
        </w:tc>
        <w:tc>
          <w:tcPr>
            <w:tcW w:w="1304" w:type="dxa"/>
            <w:tcBorders>
              <w:top w:val="nil"/>
              <w:left w:val="nil"/>
              <w:bottom w:val="single" w:sz="4" w:space="0" w:color="auto"/>
              <w:right w:val="single" w:sz="4" w:space="0" w:color="auto"/>
            </w:tcBorders>
            <w:shd w:val="clear" w:color="auto" w:fill="auto"/>
            <w:noWrap/>
            <w:vAlign w:val="center"/>
          </w:tcPr>
          <w:p w14:paraId="732D7738" w14:textId="63950073" w:rsidR="00D84DF5" w:rsidRPr="004973A9" w:rsidRDefault="00D84DF5">
            <w:pPr>
              <w:spacing w:after="0"/>
              <w:jc w:val="right"/>
              <w:rPr>
                <w:rFonts w:cs="Arial"/>
                <w:color w:val="000000" w:themeColor="text1"/>
              </w:rPr>
            </w:pPr>
            <w:r w:rsidRPr="004973A9">
              <w:rPr>
                <w:rFonts w:cs="Arial"/>
                <w:color w:val="000000" w:themeColor="text1"/>
              </w:rPr>
              <w:t xml:space="preserve">5,657 </w:t>
            </w:r>
          </w:p>
        </w:tc>
        <w:tc>
          <w:tcPr>
            <w:tcW w:w="1304" w:type="dxa"/>
            <w:tcBorders>
              <w:top w:val="nil"/>
              <w:left w:val="nil"/>
              <w:bottom w:val="single" w:sz="4" w:space="0" w:color="auto"/>
              <w:right w:val="single" w:sz="4" w:space="0" w:color="auto"/>
            </w:tcBorders>
            <w:shd w:val="clear" w:color="auto" w:fill="auto"/>
            <w:noWrap/>
            <w:vAlign w:val="center"/>
          </w:tcPr>
          <w:p w14:paraId="01F79763" w14:textId="663F2427" w:rsidR="00D84DF5" w:rsidRPr="004973A9" w:rsidRDefault="00D84DF5">
            <w:pPr>
              <w:spacing w:after="0"/>
              <w:jc w:val="right"/>
              <w:rPr>
                <w:rFonts w:cs="Arial"/>
                <w:color w:val="000000" w:themeColor="text1"/>
              </w:rPr>
            </w:pPr>
            <w:r w:rsidRPr="004973A9">
              <w:rPr>
                <w:rFonts w:cs="Arial"/>
                <w:color w:val="000000" w:themeColor="text1"/>
              </w:rPr>
              <w:t xml:space="preserve">      5,997 </w:t>
            </w:r>
          </w:p>
        </w:tc>
        <w:tc>
          <w:tcPr>
            <w:tcW w:w="1244" w:type="dxa"/>
            <w:tcBorders>
              <w:top w:val="nil"/>
              <w:left w:val="nil"/>
              <w:bottom w:val="single" w:sz="4" w:space="0" w:color="auto"/>
              <w:right w:val="single" w:sz="4" w:space="0" w:color="auto"/>
            </w:tcBorders>
            <w:shd w:val="clear" w:color="auto" w:fill="auto"/>
            <w:noWrap/>
            <w:vAlign w:val="center"/>
          </w:tcPr>
          <w:p w14:paraId="70183708" w14:textId="1F5AC6FC" w:rsidR="00D84DF5" w:rsidRPr="004973A9" w:rsidRDefault="00D84DF5">
            <w:pPr>
              <w:spacing w:after="0"/>
              <w:jc w:val="right"/>
              <w:rPr>
                <w:rFonts w:cs="Arial"/>
                <w:color w:val="000000" w:themeColor="text1"/>
              </w:rPr>
            </w:pPr>
            <w:r w:rsidRPr="004973A9">
              <w:rPr>
                <w:rFonts w:cs="Arial"/>
                <w:color w:val="000000" w:themeColor="text1"/>
              </w:rPr>
              <w:t xml:space="preserve">400 </w:t>
            </w:r>
          </w:p>
        </w:tc>
        <w:tc>
          <w:tcPr>
            <w:tcW w:w="1477" w:type="dxa"/>
            <w:tcBorders>
              <w:top w:val="nil"/>
              <w:left w:val="nil"/>
              <w:bottom w:val="single" w:sz="4" w:space="0" w:color="auto"/>
              <w:right w:val="single" w:sz="4" w:space="0" w:color="auto"/>
            </w:tcBorders>
            <w:shd w:val="clear" w:color="auto" w:fill="auto"/>
            <w:noWrap/>
            <w:vAlign w:val="center"/>
          </w:tcPr>
          <w:p w14:paraId="66C1FB03" w14:textId="78906AB7" w:rsidR="00D84DF5" w:rsidRPr="004973A9" w:rsidRDefault="00D84DF5" w:rsidP="004973A9">
            <w:pPr>
              <w:spacing w:after="0"/>
              <w:jc w:val="right"/>
              <w:rPr>
                <w:rFonts w:cs="Arial"/>
                <w:color w:val="000000" w:themeColor="text1"/>
              </w:rPr>
            </w:pPr>
            <w:r w:rsidRPr="004973A9">
              <w:rPr>
                <w:rFonts w:cs="Arial"/>
                <w:color w:val="000000" w:themeColor="text1"/>
              </w:rPr>
              <w:t>6%</w:t>
            </w:r>
          </w:p>
        </w:tc>
      </w:tr>
      <w:tr w:rsidR="00D84DF5" w:rsidRPr="00537E40" w14:paraId="034A6320" w14:textId="77777777" w:rsidTr="004973A9">
        <w:trPr>
          <w:trHeight w:val="34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315D7AEE" w14:textId="77777777" w:rsidR="00D84DF5" w:rsidRDefault="00D84DF5">
            <w:pPr>
              <w:spacing w:after="0"/>
              <w:rPr>
                <w:rFonts w:cs="Arial"/>
                <w:b/>
                <w:bCs/>
                <w:color w:val="000000"/>
                <w:szCs w:val="20"/>
              </w:rPr>
            </w:pPr>
            <w:r>
              <w:rPr>
                <w:rFonts w:cs="Arial"/>
                <w:b/>
                <w:bCs/>
                <w:color w:val="000000"/>
                <w:szCs w:val="20"/>
              </w:rPr>
              <w:t>Accommodation - Commercial</w:t>
            </w:r>
          </w:p>
        </w:tc>
        <w:tc>
          <w:tcPr>
            <w:tcW w:w="1251" w:type="dxa"/>
            <w:tcBorders>
              <w:top w:val="nil"/>
              <w:left w:val="nil"/>
              <w:bottom w:val="single" w:sz="4" w:space="0" w:color="auto"/>
              <w:right w:val="single" w:sz="4" w:space="0" w:color="auto"/>
            </w:tcBorders>
            <w:shd w:val="clear" w:color="auto" w:fill="auto"/>
            <w:noWrap/>
            <w:vAlign w:val="center"/>
          </w:tcPr>
          <w:p w14:paraId="6F29F534" w14:textId="575ADF06" w:rsidR="00D84DF5" w:rsidRPr="004973A9" w:rsidRDefault="00D84DF5">
            <w:pPr>
              <w:spacing w:after="0"/>
              <w:jc w:val="right"/>
              <w:rPr>
                <w:rFonts w:cs="Arial"/>
                <w:color w:val="000000" w:themeColor="text1"/>
              </w:rPr>
            </w:pPr>
            <w:r w:rsidRPr="004973A9">
              <w:rPr>
                <w:rFonts w:cs="Arial"/>
                <w:color w:val="000000" w:themeColor="text1"/>
              </w:rPr>
              <w:t xml:space="preserve">1,434 </w:t>
            </w:r>
          </w:p>
        </w:tc>
        <w:tc>
          <w:tcPr>
            <w:tcW w:w="1304" w:type="dxa"/>
            <w:tcBorders>
              <w:top w:val="nil"/>
              <w:left w:val="nil"/>
              <w:bottom w:val="single" w:sz="4" w:space="0" w:color="auto"/>
              <w:right w:val="single" w:sz="4" w:space="0" w:color="auto"/>
            </w:tcBorders>
            <w:shd w:val="clear" w:color="auto" w:fill="auto"/>
            <w:noWrap/>
            <w:vAlign w:val="center"/>
          </w:tcPr>
          <w:p w14:paraId="01DA2265" w14:textId="542ABC6D" w:rsidR="00D84DF5" w:rsidRPr="004973A9" w:rsidRDefault="00D84DF5">
            <w:pPr>
              <w:spacing w:after="0"/>
              <w:jc w:val="right"/>
              <w:rPr>
                <w:rFonts w:cs="Arial"/>
                <w:color w:val="000000" w:themeColor="text1"/>
              </w:rPr>
            </w:pPr>
            <w:r w:rsidRPr="004973A9">
              <w:rPr>
                <w:rFonts w:cs="Arial"/>
                <w:color w:val="000000" w:themeColor="text1"/>
              </w:rPr>
              <w:t xml:space="preserve">1,979 </w:t>
            </w:r>
          </w:p>
        </w:tc>
        <w:tc>
          <w:tcPr>
            <w:tcW w:w="1304" w:type="dxa"/>
            <w:tcBorders>
              <w:top w:val="nil"/>
              <w:left w:val="nil"/>
              <w:bottom w:val="single" w:sz="4" w:space="0" w:color="auto"/>
              <w:right w:val="single" w:sz="4" w:space="0" w:color="auto"/>
            </w:tcBorders>
            <w:shd w:val="clear" w:color="auto" w:fill="auto"/>
            <w:noWrap/>
            <w:vAlign w:val="center"/>
          </w:tcPr>
          <w:p w14:paraId="28EB370C" w14:textId="068B73DF" w:rsidR="00D84DF5" w:rsidRPr="004973A9" w:rsidRDefault="00D84DF5">
            <w:pPr>
              <w:spacing w:after="0"/>
              <w:jc w:val="right"/>
              <w:rPr>
                <w:rFonts w:cs="Arial"/>
                <w:color w:val="000000" w:themeColor="text1"/>
              </w:rPr>
            </w:pPr>
            <w:r w:rsidRPr="004973A9">
              <w:rPr>
                <w:rFonts w:cs="Arial"/>
                <w:color w:val="000000" w:themeColor="text1"/>
              </w:rPr>
              <w:t xml:space="preserve">      2,124 </w:t>
            </w:r>
          </w:p>
        </w:tc>
        <w:tc>
          <w:tcPr>
            <w:tcW w:w="1244" w:type="dxa"/>
            <w:tcBorders>
              <w:top w:val="nil"/>
              <w:left w:val="nil"/>
              <w:bottom w:val="single" w:sz="4" w:space="0" w:color="auto"/>
              <w:right w:val="single" w:sz="4" w:space="0" w:color="auto"/>
            </w:tcBorders>
            <w:shd w:val="clear" w:color="auto" w:fill="auto"/>
            <w:noWrap/>
            <w:vAlign w:val="center"/>
          </w:tcPr>
          <w:p w14:paraId="623AFC86" w14:textId="2EE8F66C" w:rsidR="00D84DF5" w:rsidRPr="004973A9" w:rsidRDefault="00D84DF5">
            <w:pPr>
              <w:spacing w:after="0"/>
              <w:jc w:val="right"/>
              <w:rPr>
                <w:rFonts w:cs="Arial"/>
                <w:color w:val="000000" w:themeColor="text1"/>
              </w:rPr>
            </w:pPr>
            <w:r w:rsidRPr="004973A9">
              <w:rPr>
                <w:rFonts w:cs="Arial"/>
                <w:color w:val="000000" w:themeColor="text1"/>
              </w:rPr>
              <w:t xml:space="preserve">691 </w:t>
            </w:r>
          </w:p>
        </w:tc>
        <w:tc>
          <w:tcPr>
            <w:tcW w:w="1477" w:type="dxa"/>
            <w:tcBorders>
              <w:top w:val="nil"/>
              <w:left w:val="nil"/>
              <w:bottom w:val="single" w:sz="4" w:space="0" w:color="auto"/>
              <w:right w:val="single" w:sz="4" w:space="0" w:color="auto"/>
            </w:tcBorders>
            <w:shd w:val="clear" w:color="auto" w:fill="auto"/>
            <w:noWrap/>
            <w:vAlign w:val="center"/>
          </w:tcPr>
          <w:p w14:paraId="6EFD48CB" w14:textId="3A4260DB" w:rsidR="00D84DF5" w:rsidRPr="004973A9" w:rsidRDefault="00D84DF5">
            <w:pPr>
              <w:spacing w:after="0"/>
              <w:jc w:val="right"/>
              <w:rPr>
                <w:rFonts w:cs="Arial"/>
                <w:color w:val="000000" w:themeColor="text1"/>
              </w:rPr>
            </w:pPr>
            <w:r w:rsidRPr="004973A9">
              <w:rPr>
                <w:rFonts w:cs="Arial"/>
                <w:color w:val="000000" w:themeColor="text1"/>
              </w:rPr>
              <w:t>11%</w:t>
            </w:r>
          </w:p>
        </w:tc>
      </w:tr>
      <w:tr w:rsidR="00D84DF5" w:rsidRPr="00537E40" w14:paraId="099AC082" w14:textId="77777777" w:rsidTr="004973A9">
        <w:trPr>
          <w:trHeight w:val="34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14C7AFDD" w14:textId="77777777" w:rsidR="00D84DF5" w:rsidRDefault="00D84DF5">
            <w:pPr>
              <w:spacing w:after="0"/>
              <w:rPr>
                <w:rFonts w:cs="Arial"/>
                <w:b/>
                <w:bCs/>
                <w:color w:val="000000"/>
                <w:szCs w:val="20"/>
              </w:rPr>
            </w:pPr>
            <w:r>
              <w:rPr>
                <w:rFonts w:cs="Arial"/>
                <w:b/>
                <w:bCs/>
                <w:color w:val="000000"/>
                <w:szCs w:val="20"/>
              </w:rPr>
              <w:t>Other - Employment</w:t>
            </w:r>
          </w:p>
        </w:tc>
        <w:tc>
          <w:tcPr>
            <w:tcW w:w="1251" w:type="dxa"/>
            <w:tcBorders>
              <w:top w:val="nil"/>
              <w:left w:val="nil"/>
              <w:bottom w:val="single" w:sz="4" w:space="0" w:color="auto"/>
              <w:right w:val="single" w:sz="4" w:space="0" w:color="auto"/>
            </w:tcBorders>
            <w:shd w:val="clear" w:color="auto" w:fill="auto"/>
            <w:noWrap/>
            <w:vAlign w:val="center"/>
          </w:tcPr>
          <w:p w14:paraId="42ACCD80" w14:textId="1F8A804F" w:rsidR="00D84DF5" w:rsidRPr="004973A9" w:rsidRDefault="00D84DF5">
            <w:pPr>
              <w:spacing w:after="0"/>
              <w:jc w:val="right"/>
              <w:rPr>
                <w:rFonts w:cs="Arial"/>
                <w:color w:val="000000" w:themeColor="text1"/>
              </w:rPr>
            </w:pPr>
            <w:r w:rsidRPr="004973A9">
              <w:rPr>
                <w:rFonts w:cs="Arial"/>
                <w:color w:val="000000" w:themeColor="text1"/>
              </w:rPr>
              <w:t xml:space="preserve">1,182 </w:t>
            </w:r>
          </w:p>
        </w:tc>
        <w:tc>
          <w:tcPr>
            <w:tcW w:w="1304" w:type="dxa"/>
            <w:tcBorders>
              <w:top w:val="nil"/>
              <w:left w:val="nil"/>
              <w:bottom w:val="single" w:sz="4" w:space="0" w:color="auto"/>
              <w:right w:val="single" w:sz="4" w:space="0" w:color="auto"/>
            </w:tcBorders>
            <w:shd w:val="clear" w:color="auto" w:fill="auto"/>
            <w:noWrap/>
            <w:vAlign w:val="center"/>
          </w:tcPr>
          <w:p w14:paraId="47F7A340" w14:textId="1F692CDE" w:rsidR="00D84DF5" w:rsidRPr="004973A9" w:rsidRDefault="00D84DF5">
            <w:pPr>
              <w:spacing w:after="0"/>
              <w:jc w:val="right"/>
              <w:rPr>
                <w:rFonts w:cs="Arial"/>
                <w:color w:val="000000" w:themeColor="text1"/>
              </w:rPr>
            </w:pPr>
            <w:r w:rsidRPr="004973A9">
              <w:rPr>
                <w:rFonts w:cs="Arial"/>
                <w:color w:val="000000" w:themeColor="text1"/>
              </w:rPr>
              <w:t xml:space="preserve">1,753 </w:t>
            </w:r>
          </w:p>
        </w:tc>
        <w:tc>
          <w:tcPr>
            <w:tcW w:w="1304" w:type="dxa"/>
            <w:tcBorders>
              <w:top w:val="nil"/>
              <w:left w:val="nil"/>
              <w:bottom w:val="single" w:sz="4" w:space="0" w:color="auto"/>
              <w:right w:val="single" w:sz="4" w:space="0" w:color="auto"/>
            </w:tcBorders>
            <w:shd w:val="clear" w:color="auto" w:fill="auto"/>
            <w:noWrap/>
            <w:vAlign w:val="center"/>
          </w:tcPr>
          <w:p w14:paraId="159BD04B" w14:textId="20EB1625" w:rsidR="00D84DF5" w:rsidRPr="004973A9" w:rsidRDefault="00D84DF5">
            <w:pPr>
              <w:spacing w:after="0"/>
              <w:jc w:val="right"/>
              <w:rPr>
                <w:rFonts w:cs="Arial"/>
                <w:color w:val="000000" w:themeColor="text1"/>
              </w:rPr>
            </w:pPr>
            <w:r w:rsidRPr="004973A9">
              <w:rPr>
                <w:rFonts w:cs="Arial"/>
                <w:color w:val="000000" w:themeColor="text1"/>
              </w:rPr>
              <w:t xml:space="preserve">      2,101 </w:t>
            </w:r>
          </w:p>
        </w:tc>
        <w:tc>
          <w:tcPr>
            <w:tcW w:w="1244" w:type="dxa"/>
            <w:tcBorders>
              <w:top w:val="nil"/>
              <w:left w:val="nil"/>
              <w:bottom w:val="single" w:sz="4" w:space="0" w:color="auto"/>
              <w:right w:val="single" w:sz="4" w:space="0" w:color="auto"/>
            </w:tcBorders>
            <w:shd w:val="clear" w:color="auto" w:fill="auto"/>
            <w:noWrap/>
            <w:vAlign w:val="center"/>
          </w:tcPr>
          <w:p w14:paraId="77531713" w14:textId="75BD4694" w:rsidR="00D84DF5" w:rsidRPr="004973A9" w:rsidRDefault="00D84DF5">
            <w:pPr>
              <w:spacing w:after="0"/>
              <w:jc w:val="right"/>
              <w:rPr>
                <w:rFonts w:cs="Arial"/>
                <w:color w:val="000000" w:themeColor="text1"/>
              </w:rPr>
            </w:pPr>
            <w:r w:rsidRPr="004973A9">
              <w:rPr>
                <w:rFonts w:cs="Arial"/>
                <w:color w:val="000000" w:themeColor="text1"/>
              </w:rPr>
              <w:t xml:space="preserve">919 </w:t>
            </w:r>
          </w:p>
        </w:tc>
        <w:tc>
          <w:tcPr>
            <w:tcW w:w="1477" w:type="dxa"/>
            <w:tcBorders>
              <w:top w:val="nil"/>
              <w:left w:val="nil"/>
              <w:bottom w:val="single" w:sz="4" w:space="0" w:color="auto"/>
              <w:right w:val="single" w:sz="4" w:space="0" w:color="auto"/>
            </w:tcBorders>
            <w:shd w:val="clear" w:color="auto" w:fill="auto"/>
            <w:noWrap/>
            <w:vAlign w:val="center"/>
          </w:tcPr>
          <w:p w14:paraId="70CC5532" w14:textId="7949A45B" w:rsidR="00D84DF5" w:rsidRPr="004973A9" w:rsidRDefault="00D84DF5">
            <w:pPr>
              <w:spacing w:after="0"/>
              <w:jc w:val="right"/>
              <w:rPr>
                <w:rFonts w:cs="Arial"/>
                <w:color w:val="000000" w:themeColor="text1"/>
              </w:rPr>
            </w:pPr>
            <w:r w:rsidRPr="004973A9">
              <w:rPr>
                <w:rFonts w:cs="Arial"/>
                <w:color w:val="000000" w:themeColor="text1"/>
              </w:rPr>
              <w:t>15%</w:t>
            </w:r>
          </w:p>
        </w:tc>
      </w:tr>
      <w:tr w:rsidR="00D84DF5" w:rsidRPr="00537E40" w14:paraId="7A2EB9D9" w14:textId="77777777" w:rsidTr="004973A9">
        <w:trPr>
          <w:trHeight w:val="34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69D0C959" w14:textId="77777777" w:rsidR="00D84DF5" w:rsidRDefault="00D84DF5">
            <w:pPr>
              <w:spacing w:after="0"/>
              <w:rPr>
                <w:rFonts w:cs="Arial"/>
                <w:b/>
                <w:bCs/>
                <w:color w:val="000000"/>
                <w:szCs w:val="20"/>
              </w:rPr>
            </w:pPr>
            <w:r>
              <w:rPr>
                <w:rFonts w:cs="Arial"/>
                <w:b/>
                <w:bCs/>
                <w:color w:val="000000"/>
                <w:szCs w:val="20"/>
              </w:rPr>
              <w:t>Education</w:t>
            </w:r>
          </w:p>
        </w:tc>
        <w:tc>
          <w:tcPr>
            <w:tcW w:w="1251" w:type="dxa"/>
            <w:tcBorders>
              <w:top w:val="nil"/>
              <w:left w:val="nil"/>
              <w:bottom w:val="single" w:sz="4" w:space="0" w:color="auto"/>
              <w:right w:val="single" w:sz="4" w:space="0" w:color="auto"/>
            </w:tcBorders>
            <w:shd w:val="clear" w:color="auto" w:fill="auto"/>
            <w:noWrap/>
            <w:vAlign w:val="center"/>
          </w:tcPr>
          <w:p w14:paraId="15467C78" w14:textId="19333C5C" w:rsidR="00D84DF5" w:rsidRPr="004973A9" w:rsidRDefault="00D84DF5">
            <w:pPr>
              <w:spacing w:after="0"/>
              <w:jc w:val="right"/>
              <w:rPr>
                <w:rFonts w:cs="Arial"/>
                <w:color w:val="000000" w:themeColor="text1"/>
              </w:rPr>
            </w:pPr>
            <w:r w:rsidRPr="004973A9">
              <w:rPr>
                <w:rFonts w:cs="Arial"/>
                <w:color w:val="000000" w:themeColor="text1"/>
              </w:rPr>
              <w:t xml:space="preserve">1,507 </w:t>
            </w:r>
          </w:p>
        </w:tc>
        <w:tc>
          <w:tcPr>
            <w:tcW w:w="1304" w:type="dxa"/>
            <w:tcBorders>
              <w:top w:val="nil"/>
              <w:left w:val="nil"/>
              <w:bottom w:val="single" w:sz="4" w:space="0" w:color="auto"/>
              <w:right w:val="single" w:sz="4" w:space="0" w:color="auto"/>
            </w:tcBorders>
            <w:shd w:val="clear" w:color="auto" w:fill="auto"/>
            <w:noWrap/>
            <w:vAlign w:val="center"/>
          </w:tcPr>
          <w:p w14:paraId="32A1B674" w14:textId="5D9F4E4A" w:rsidR="00D84DF5" w:rsidRPr="004973A9" w:rsidRDefault="00D84DF5">
            <w:pPr>
              <w:spacing w:after="0"/>
              <w:jc w:val="right"/>
              <w:rPr>
                <w:rFonts w:cs="Arial"/>
                <w:color w:val="000000" w:themeColor="text1"/>
              </w:rPr>
            </w:pPr>
            <w:r w:rsidRPr="004973A9">
              <w:rPr>
                <w:rFonts w:cs="Arial"/>
                <w:color w:val="000000" w:themeColor="text1"/>
              </w:rPr>
              <w:t xml:space="preserve">2,017 </w:t>
            </w:r>
          </w:p>
        </w:tc>
        <w:tc>
          <w:tcPr>
            <w:tcW w:w="1304" w:type="dxa"/>
            <w:tcBorders>
              <w:top w:val="nil"/>
              <w:left w:val="nil"/>
              <w:bottom w:val="single" w:sz="4" w:space="0" w:color="auto"/>
              <w:right w:val="single" w:sz="4" w:space="0" w:color="auto"/>
            </w:tcBorders>
            <w:shd w:val="clear" w:color="auto" w:fill="auto"/>
            <w:noWrap/>
            <w:vAlign w:val="center"/>
          </w:tcPr>
          <w:p w14:paraId="2F16F405" w14:textId="438B67EA" w:rsidR="00D84DF5" w:rsidRPr="004973A9" w:rsidRDefault="00D84DF5">
            <w:pPr>
              <w:spacing w:after="0"/>
              <w:jc w:val="right"/>
              <w:rPr>
                <w:rFonts w:cs="Arial"/>
                <w:color w:val="000000" w:themeColor="text1"/>
              </w:rPr>
            </w:pPr>
            <w:r w:rsidRPr="004973A9">
              <w:rPr>
                <w:rFonts w:cs="Arial"/>
                <w:color w:val="000000" w:themeColor="text1"/>
              </w:rPr>
              <w:t xml:space="preserve">      2,446 </w:t>
            </w:r>
          </w:p>
        </w:tc>
        <w:tc>
          <w:tcPr>
            <w:tcW w:w="1244" w:type="dxa"/>
            <w:tcBorders>
              <w:top w:val="nil"/>
              <w:left w:val="nil"/>
              <w:bottom w:val="single" w:sz="4" w:space="0" w:color="auto"/>
              <w:right w:val="single" w:sz="4" w:space="0" w:color="auto"/>
            </w:tcBorders>
            <w:shd w:val="clear" w:color="auto" w:fill="auto"/>
            <w:noWrap/>
            <w:vAlign w:val="center"/>
          </w:tcPr>
          <w:p w14:paraId="17F29BE4" w14:textId="561E5F96" w:rsidR="00D84DF5" w:rsidRPr="004973A9" w:rsidRDefault="00D84DF5">
            <w:pPr>
              <w:spacing w:after="0"/>
              <w:jc w:val="right"/>
              <w:rPr>
                <w:rFonts w:cs="Arial"/>
                <w:color w:val="000000" w:themeColor="text1"/>
              </w:rPr>
            </w:pPr>
            <w:r w:rsidRPr="004973A9">
              <w:rPr>
                <w:rFonts w:cs="Arial"/>
                <w:color w:val="000000" w:themeColor="text1"/>
              </w:rPr>
              <w:t xml:space="preserve">939 </w:t>
            </w:r>
          </w:p>
        </w:tc>
        <w:tc>
          <w:tcPr>
            <w:tcW w:w="1477" w:type="dxa"/>
            <w:tcBorders>
              <w:top w:val="nil"/>
              <w:left w:val="nil"/>
              <w:bottom w:val="single" w:sz="4" w:space="0" w:color="auto"/>
              <w:right w:val="single" w:sz="4" w:space="0" w:color="auto"/>
            </w:tcBorders>
            <w:shd w:val="clear" w:color="auto" w:fill="auto"/>
            <w:noWrap/>
            <w:vAlign w:val="center"/>
          </w:tcPr>
          <w:p w14:paraId="5E566145" w14:textId="6645E6B1" w:rsidR="00D84DF5" w:rsidRPr="004973A9" w:rsidRDefault="00D84DF5">
            <w:pPr>
              <w:spacing w:after="0"/>
              <w:jc w:val="right"/>
              <w:rPr>
                <w:rFonts w:cs="Arial"/>
                <w:color w:val="000000" w:themeColor="text1"/>
              </w:rPr>
            </w:pPr>
            <w:r w:rsidRPr="004973A9">
              <w:rPr>
                <w:rFonts w:cs="Arial"/>
                <w:color w:val="000000" w:themeColor="text1"/>
              </w:rPr>
              <w:t>15%</w:t>
            </w:r>
          </w:p>
        </w:tc>
      </w:tr>
      <w:tr w:rsidR="00D84DF5" w:rsidRPr="00537E40" w14:paraId="57419965" w14:textId="77777777" w:rsidTr="004973A9">
        <w:trPr>
          <w:trHeight w:val="34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66E36F63" w14:textId="77777777" w:rsidR="00D84DF5" w:rsidRDefault="00D84DF5">
            <w:pPr>
              <w:spacing w:after="0"/>
              <w:rPr>
                <w:rFonts w:cs="Arial"/>
                <w:b/>
                <w:bCs/>
                <w:color w:val="000000"/>
                <w:szCs w:val="20"/>
              </w:rPr>
            </w:pPr>
            <w:r>
              <w:rPr>
                <w:rFonts w:cs="Arial"/>
                <w:b/>
                <w:bCs/>
                <w:color w:val="000000"/>
                <w:szCs w:val="20"/>
              </w:rPr>
              <w:t>Entertainment - Other</w:t>
            </w:r>
          </w:p>
        </w:tc>
        <w:tc>
          <w:tcPr>
            <w:tcW w:w="1251" w:type="dxa"/>
            <w:tcBorders>
              <w:top w:val="nil"/>
              <w:left w:val="nil"/>
              <w:bottom w:val="single" w:sz="4" w:space="0" w:color="auto"/>
              <w:right w:val="single" w:sz="4" w:space="0" w:color="auto"/>
            </w:tcBorders>
            <w:shd w:val="clear" w:color="auto" w:fill="auto"/>
            <w:noWrap/>
            <w:vAlign w:val="center"/>
          </w:tcPr>
          <w:p w14:paraId="362DFE81" w14:textId="22AFEF0B" w:rsidR="00D84DF5" w:rsidRPr="004973A9" w:rsidRDefault="00D84DF5">
            <w:pPr>
              <w:spacing w:after="0"/>
              <w:jc w:val="right"/>
              <w:rPr>
                <w:rFonts w:cs="Arial"/>
                <w:color w:val="000000" w:themeColor="text1"/>
              </w:rPr>
            </w:pPr>
            <w:r w:rsidRPr="004973A9">
              <w:rPr>
                <w:rFonts w:cs="Arial"/>
                <w:color w:val="000000" w:themeColor="text1"/>
              </w:rPr>
              <w:t xml:space="preserve">2,311 </w:t>
            </w:r>
          </w:p>
        </w:tc>
        <w:tc>
          <w:tcPr>
            <w:tcW w:w="1304" w:type="dxa"/>
            <w:tcBorders>
              <w:top w:val="nil"/>
              <w:left w:val="nil"/>
              <w:bottom w:val="single" w:sz="4" w:space="0" w:color="auto"/>
              <w:right w:val="single" w:sz="4" w:space="0" w:color="auto"/>
            </w:tcBorders>
            <w:shd w:val="clear" w:color="auto" w:fill="auto"/>
            <w:noWrap/>
            <w:vAlign w:val="center"/>
          </w:tcPr>
          <w:p w14:paraId="5981F580" w14:textId="52722B32" w:rsidR="00D84DF5" w:rsidRPr="004973A9" w:rsidRDefault="00D84DF5">
            <w:pPr>
              <w:spacing w:after="0"/>
              <w:jc w:val="right"/>
              <w:rPr>
                <w:rFonts w:cs="Arial"/>
                <w:color w:val="000000" w:themeColor="text1"/>
              </w:rPr>
            </w:pPr>
            <w:r w:rsidRPr="004973A9">
              <w:rPr>
                <w:rFonts w:cs="Arial"/>
                <w:color w:val="000000" w:themeColor="text1"/>
              </w:rPr>
              <w:t xml:space="preserve">2,440 </w:t>
            </w:r>
          </w:p>
        </w:tc>
        <w:tc>
          <w:tcPr>
            <w:tcW w:w="1304" w:type="dxa"/>
            <w:tcBorders>
              <w:top w:val="nil"/>
              <w:left w:val="nil"/>
              <w:bottom w:val="single" w:sz="4" w:space="0" w:color="auto"/>
              <w:right w:val="single" w:sz="4" w:space="0" w:color="auto"/>
            </w:tcBorders>
            <w:shd w:val="clear" w:color="auto" w:fill="auto"/>
            <w:noWrap/>
            <w:vAlign w:val="center"/>
          </w:tcPr>
          <w:p w14:paraId="1DA33ECB" w14:textId="00F011D5" w:rsidR="00D84DF5" w:rsidRPr="004973A9" w:rsidRDefault="00D84DF5">
            <w:pPr>
              <w:spacing w:after="0"/>
              <w:jc w:val="right"/>
              <w:rPr>
                <w:rFonts w:cs="Arial"/>
                <w:color w:val="000000" w:themeColor="text1"/>
              </w:rPr>
            </w:pPr>
            <w:r w:rsidRPr="004973A9">
              <w:rPr>
                <w:rFonts w:cs="Arial"/>
                <w:color w:val="000000" w:themeColor="text1"/>
              </w:rPr>
              <w:t xml:space="preserve">      2,805 </w:t>
            </w:r>
          </w:p>
        </w:tc>
        <w:tc>
          <w:tcPr>
            <w:tcW w:w="1244" w:type="dxa"/>
            <w:tcBorders>
              <w:top w:val="nil"/>
              <w:left w:val="nil"/>
              <w:bottom w:val="single" w:sz="4" w:space="0" w:color="auto"/>
              <w:right w:val="single" w:sz="4" w:space="0" w:color="auto"/>
            </w:tcBorders>
            <w:shd w:val="clear" w:color="auto" w:fill="auto"/>
            <w:noWrap/>
            <w:vAlign w:val="center"/>
          </w:tcPr>
          <w:p w14:paraId="0E64C9FB" w14:textId="14E8C4BD" w:rsidR="00D84DF5" w:rsidRPr="004973A9" w:rsidRDefault="00D84DF5">
            <w:pPr>
              <w:spacing w:after="0"/>
              <w:jc w:val="right"/>
              <w:rPr>
                <w:rFonts w:cs="Arial"/>
                <w:color w:val="000000" w:themeColor="text1"/>
              </w:rPr>
            </w:pPr>
            <w:r w:rsidRPr="004973A9">
              <w:rPr>
                <w:rFonts w:cs="Arial"/>
                <w:color w:val="000000" w:themeColor="text1"/>
              </w:rPr>
              <w:t xml:space="preserve">494 </w:t>
            </w:r>
          </w:p>
        </w:tc>
        <w:tc>
          <w:tcPr>
            <w:tcW w:w="1477" w:type="dxa"/>
            <w:tcBorders>
              <w:top w:val="nil"/>
              <w:left w:val="nil"/>
              <w:bottom w:val="single" w:sz="4" w:space="0" w:color="auto"/>
              <w:right w:val="single" w:sz="4" w:space="0" w:color="auto"/>
            </w:tcBorders>
            <w:shd w:val="clear" w:color="auto" w:fill="auto"/>
            <w:noWrap/>
            <w:vAlign w:val="center"/>
          </w:tcPr>
          <w:p w14:paraId="709765D5" w14:textId="40D04E85" w:rsidR="00D84DF5" w:rsidRPr="004973A9" w:rsidRDefault="00D84DF5">
            <w:pPr>
              <w:spacing w:after="0"/>
              <w:jc w:val="right"/>
              <w:rPr>
                <w:rFonts w:cs="Arial"/>
                <w:color w:val="000000" w:themeColor="text1"/>
              </w:rPr>
            </w:pPr>
            <w:r w:rsidRPr="004973A9">
              <w:rPr>
                <w:rFonts w:cs="Arial"/>
                <w:color w:val="000000" w:themeColor="text1"/>
              </w:rPr>
              <w:t>8%</w:t>
            </w:r>
          </w:p>
        </w:tc>
      </w:tr>
      <w:tr w:rsidR="00D84DF5" w:rsidRPr="00537E40" w14:paraId="0270B6C0" w14:textId="77777777" w:rsidTr="004973A9">
        <w:trPr>
          <w:trHeight w:val="34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23A15D1F" w14:textId="77777777" w:rsidR="00D84DF5" w:rsidRDefault="00D84DF5">
            <w:pPr>
              <w:spacing w:after="0"/>
              <w:rPr>
                <w:rFonts w:cs="Arial"/>
                <w:b/>
                <w:bCs/>
                <w:color w:val="000000"/>
                <w:szCs w:val="20"/>
              </w:rPr>
            </w:pPr>
            <w:r>
              <w:rPr>
                <w:rFonts w:cs="Arial"/>
                <w:b/>
                <w:bCs/>
                <w:color w:val="000000"/>
                <w:szCs w:val="20"/>
              </w:rPr>
              <w:t>Health</w:t>
            </w:r>
          </w:p>
        </w:tc>
        <w:tc>
          <w:tcPr>
            <w:tcW w:w="1251" w:type="dxa"/>
            <w:tcBorders>
              <w:top w:val="nil"/>
              <w:left w:val="nil"/>
              <w:bottom w:val="single" w:sz="4" w:space="0" w:color="auto"/>
              <w:right w:val="single" w:sz="4" w:space="0" w:color="auto"/>
            </w:tcBorders>
            <w:shd w:val="clear" w:color="auto" w:fill="auto"/>
            <w:noWrap/>
            <w:vAlign w:val="center"/>
          </w:tcPr>
          <w:p w14:paraId="6CD7BA23" w14:textId="12610AB7" w:rsidR="00D84DF5" w:rsidRPr="004973A9" w:rsidRDefault="00D84DF5">
            <w:pPr>
              <w:spacing w:after="0"/>
              <w:jc w:val="right"/>
              <w:rPr>
                <w:rFonts w:cs="Arial"/>
                <w:color w:val="000000" w:themeColor="text1"/>
              </w:rPr>
            </w:pPr>
            <w:r w:rsidRPr="004973A9">
              <w:rPr>
                <w:rFonts w:cs="Arial"/>
                <w:color w:val="000000" w:themeColor="text1"/>
              </w:rPr>
              <w:t xml:space="preserve">700 </w:t>
            </w:r>
          </w:p>
        </w:tc>
        <w:tc>
          <w:tcPr>
            <w:tcW w:w="1304" w:type="dxa"/>
            <w:tcBorders>
              <w:top w:val="nil"/>
              <w:left w:val="nil"/>
              <w:bottom w:val="single" w:sz="4" w:space="0" w:color="auto"/>
              <w:right w:val="single" w:sz="4" w:space="0" w:color="auto"/>
            </w:tcBorders>
            <w:shd w:val="clear" w:color="auto" w:fill="auto"/>
            <w:noWrap/>
            <w:vAlign w:val="center"/>
          </w:tcPr>
          <w:p w14:paraId="6A436051" w14:textId="2FE4C7BA" w:rsidR="00D84DF5" w:rsidRPr="004973A9" w:rsidRDefault="00D84DF5">
            <w:pPr>
              <w:spacing w:after="0"/>
              <w:jc w:val="right"/>
              <w:rPr>
                <w:rFonts w:cs="Arial"/>
                <w:color w:val="000000" w:themeColor="text1"/>
              </w:rPr>
            </w:pPr>
            <w:r w:rsidRPr="004973A9">
              <w:rPr>
                <w:rFonts w:cs="Arial"/>
                <w:color w:val="000000" w:themeColor="text1"/>
              </w:rPr>
              <w:t xml:space="preserve">969 </w:t>
            </w:r>
          </w:p>
        </w:tc>
        <w:tc>
          <w:tcPr>
            <w:tcW w:w="1304" w:type="dxa"/>
            <w:tcBorders>
              <w:top w:val="nil"/>
              <w:left w:val="nil"/>
              <w:bottom w:val="single" w:sz="4" w:space="0" w:color="auto"/>
              <w:right w:val="single" w:sz="4" w:space="0" w:color="auto"/>
            </w:tcBorders>
            <w:shd w:val="clear" w:color="auto" w:fill="auto"/>
            <w:noWrap/>
            <w:vAlign w:val="center"/>
          </w:tcPr>
          <w:p w14:paraId="47C821F6" w14:textId="76CEFBB7" w:rsidR="00D84DF5" w:rsidRPr="004973A9" w:rsidRDefault="00D84DF5">
            <w:pPr>
              <w:spacing w:after="0"/>
              <w:jc w:val="right"/>
              <w:rPr>
                <w:rFonts w:cs="Arial"/>
                <w:color w:val="000000" w:themeColor="text1"/>
              </w:rPr>
            </w:pPr>
            <w:r w:rsidRPr="004973A9">
              <w:rPr>
                <w:rFonts w:cs="Arial"/>
                <w:color w:val="000000" w:themeColor="text1"/>
              </w:rPr>
              <w:t xml:space="preserve">      1,137 </w:t>
            </w:r>
          </w:p>
        </w:tc>
        <w:tc>
          <w:tcPr>
            <w:tcW w:w="1244" w:type="dxa"/>
            <w:tcBorders>
              <w:top w:val="nil"/>
              <w:left w:val="nil"/>
              <w:bottom w:val="single" w:sz="4" w:space="0" w:color="auto"/>
              <w:right w:val="single" w:sz="4" w:space="0" w:color="auto"/>
            </w:tcBorders>
            <w:shd w:val="clear" w:color="auto" w:fill="auto"/>
            <w:noWrap/>
            <w:vAlign w:val="center"/>
          </w:tcPr>
          <w:p w14:paraId="303DE480" w14:textId="7D9B90D1" w:rsidR="00D84DF5" w:rsidRPr="004973A9" w:rsidRDefault="00D84DF5">
            <w:pPr>
              <w:spacing w:after="0"/>
              <w:jc w:val="right"/>
              <w:rPr>
                <w:rFonts w:cs="Arial"/>
                <w:color w:val="000000" w:themeColor="text1"/>
              </w:rPr>
            </w:pPr>
            <w:r w:rsidRPr="004973A9">
              <w:rPr>
                <w:rFonts w:cs="Arial"/>
                <w:color w:val="000000" w:themeColor="text1"/>
              </w:rPr>
              <w:t xml:space="preserve">437 </w:t>
            </w:r>
          </w:p>
        </w:tc>
        <w:tc>
          <w:tcPr>
            <w:tcW w:w="1477" w:type="dxa"/>
            <w:tcBorders>
              <w:top w:val="nil"/>
              <w:left w:val="nil"/>
              <w:bottom w:val="single" w:sz="4" w:space="0" w:color="auto"/>
              <w:right w:val="single" w:sz="4" w:space="0" w:color="auto"/>
            </w:tcBorders>
            <w:shd w:val="clear" w:color="auto" w:fill="auto"/>
            <w:noWrap/>
            <w:vAlign w:val="center"/>
          </w:tcPr>
          <w:p w14:paraId="1ABF0CBE" w14:textId="540F8D26" w:rsidR="00D84DF5" w:rsidRPr="004973A9" w:rsidRDefault="00D84DF5">
            <w:pPr>
              <w:spacing w:after="0"/>
              <w:jc w:val="right"/>
              <w:rPr>
                <w:rFonts w:cs="Arial"/>
                <w:color w:val="000000" w:themeColor="text1"/>
              </w:rPr>
            </w:pPr>
            <w:r w:rsidRPr="004973A9">
              <w:rPr>
                <w:rFonts w:cs="Arial"/>
                <w:color w:val="000000" w:themeColor="text1"/>
              </w:rPr>
              <w:t>7%</w:t>
            </w:r>
          </w:p>
        </w:tc>
      </w:tr>
      <w:tr w:rsidR="00D84DF5" w:rsidRPr="00537E40" w14:paraId="20D4AEF4" w14:textId="77777777" w:rsidTr="004973A9">
        <w:trPr>
          <w:trHeight w:val="34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2FBB1C91" w14:textId="77777777" w:rsidR="00D84DF5" w:rsidRDefault="00D84DF5">
            <w:pPr>
              <w:spacing w:after="0"/>
              <w:rPr>
                <w:rFonts w:cs="Arial"/>
                <w:b/>
                <w:bCs/>
                <w:color w:val="000000"/>
                <w:szCs w:val="20"/>
              </w:rPr>
            </w:pPr>
            <w:r>
              <w:rPr>
                <w:rFonts w:cs="Arial"/>
                <w:b/>
                <w:bCs/>
                <w:color w:val="000000"/>
                <w:szCs w:val="20"/>
              </w:rPr>
              <w:t>Entertainment - Hospitality</w:t>
            </w:r>
          </w:p>
        </w:tc>
        <w:tc>
          <w:tcPr>
            <w:tcW w:w="1251" w:type="dxa"/>
            <w:tcBorders>
              <w:top w:val="nil"/>
              <w:left w:val="nil"/>
              <w:bottom w:val="single" w:sz="4" w:space="0" w:color="auto"/>
              <w:right w:val="single" w:sz="4" w:space="0" w:color="auto"/>
            </w:tcBorders>
            <w:shd w:val="clear" w:color="auto" w:fill="auto"/>
            <w:noWrap/>
            <w:vAlign w:val="center"/>
          </w:tcPr>
          <w:p w14:paraId="4219FB8E" w14:textId="73A6C1F2" w:rsidR="00D84DF5" w:rsidRPr="004973A9" w:rsidRDefault="00D84DF5">
            <w:pPr>
              <w:spacing w:after="0"/>
              <w:jc w:val="right"/>
              <w:rPr>
                <w:rFonts w:cs="Arial"/>
                <w:color w:val="000000" w:themeColor="text1"/>
              </w:rPr>
            </w:pPr>
            <w:r w:rsidRPr="004973A9">
              <w:rPr>
                <w:rFonts w:cs="Arial"/>
                <w:color w:val="000000" w:themeColor="text1"/>
              </w:rPr>
              <w:t xml:space="preserve">538 </w:t>
            </w:r>
          </w:p>
        </w:tc>
        <w:tc>
          <w:tcPr>
            <w:tcW w:w="1304" w:type="dxa"/>
            <w:tcBorders>
              <w:top w:val="nil"/>
              <w:left w:val="nil"/>
              <w:bottom w:val="single" w:sz="4" w:space="0" w:color="auto"/>
              <w:right w:val="single" w:sz="4" w:space="0" w:color="auto"/>
            </w:tcBorders>
            <w:shd w:val="clear" w:color="auto" w:fill="auto"/>
            <w:noWrap/>
            <w:vAlign w:val="center"/>
          </w:tcPr>
          <w:p w14:paraId="2CAA533C" w14:textId="5F6B4444" w:rsidR="00D84DF5" w:rsidRPr="004973A9" w:rsidRDefault="00D84DF5">
            <w:pPr>
              <w:spacing w:after="0"/>
              <w:jc w:val="right"/>
              <w:rPr>
                <w:rFonts w:cs="Arial"/>
                <w:color w:val="000000" w:themeColor="text1"/>
              </w:rPr>
            </w:pPr>
            <w:r w:rsidRPr="004973A9">
              <w:rPr>
                <w:rFonts w:cs="Arial"/>
                <w:color w:val="000000" w:themeColor="text1"/>
              </w:rPr>
              <w:t xml:space="preserve">         629 </w:t>
            </w:r>
          </w:p>
        </w:tc>
        <w:tc>
          <w:tcPr>
            <w:tcW w:w="1304" w:type="dxa"/>
            <w:tcBorders>
              <w:top w:val="nil"/>
              <w:left w:val="nil"/>
              <w:bottom w:val="single" w:sz="4" w:space="0" w:color="auto"/>
              <w:right w:val="single" w:sz="4" w:space="0" w:color="auto"/>
            </w:tcBorders>
            <w:shd w:val="clear" w:color="auto" w:fill="auto"/>
            <w:noWrap/>
            <w:vAlign w:val="center"/>
          </w:tcPr>
          <w:p w14:paraId="7D872CF1" w14:textId="3126DF83" w:rsidR="00D84DF5" w:rsidRPr="004973A9" w:rsidRDefault="00D84DF5">
            <w:pPr>
              <w:spacing w:after="0"/>
              <w:jc w:val="right"/>
              <w:rPr>
                <w:rFonts w:cs="Arial"/>
                <w:color w:val="000000" w:themeColor="text1"/>
              </w:rPr>
            </w:pPr>
            <w:r w:rsidRPr="004973A9">
              <w:rPr>
                <w:rFonts w:cs="Arial"/>
                <w:color w:val="000000" w:themeColor="text1"/>
              </w:rPr>
              <w:t xml:space="preserve">         670 </w:t>
            </w:r>
          </w:p>
        </w:tc>
        <w:tc>
          <w:tcPr>
            <w:tcW w:w="1244" w:type="dxa"/>
            <w:tcBorders>
              <w:top w:val="nil"/>
              <w:left w:val="nil"/>
              <w:bottom w:val="single" w:sz="4" w:space="0" w:color="auto"/>
              <w:right w:val="single" w:sz="4" w:space="0" w:color="auto"/>
            </w:tcBorders>
            <w:shd w:val="clear" w:color="auto" w:fill="auto"/>
            <w:noWrap/>
            <w:vAlign w:val="center"/>
          </w:tcPr>
          <w:p w14:paraId="1CFED33B" w14:textId="3B597344" w:rsidR="00D84DF5" w:rsidRPr="004973A9" w:rsidRDefault="00D84DF5">
            <w:pPr>
              <w:spacing w:after="0"/>
              <w:jc w:val="right"/>
              <w:rPr>
                <w:rFonts w:cs="Arial"/>
                <w:color w:val="000000" w:themeColor="text1"/>
              </w:rPr>
            </w:pPr>
            <w:r w:rsidRPr="004973A9">
              <w:rPr>
                <w:rFonts w:cs="Arial"/>
                <w:color w:val="000000" w:themeColor="text1"/>
              </w:rPr>
              <w:t xml:space="preserve">132 </w:t>
            </w:r>
          </w:p>
        </w:tc>
        <w:tc>
          <w:tcPr>
            <w:tcW w:w="1477" w:type="dxa"/>
            <w:tcBorders>
              <w:top w:val="nil"/>
              <w:left w:val="nil"/>
              <w:bottom w:val="single" w:sz="4" w:space="0" w:color="auto"/>
              <w:right w:val="single" w:sz="4" w:space="0" w:color="auto"/>
            </w:tcBorders>
            <w:shd w:val="clear" w:color="auto" w:fill="auto"/>
            <w:noWrap/>
            <w:vAlign w:val="center"/>
          </w:tcPr>
          <w:p w14:paraId="652D0569" w14:textId="71A7C6E6" w:rsidR="00D84DF5" w:rsidRPr="004973A9" w:rsidRDefault="00D84DF5">
            <w:pPr>
              <w:spacing w:after="0"/>
              <w:jc w:val="right"/>
              <w:rPr>
                <w:rFonts w:cs="Arial"/>
                <w:color w:val="000000" w:themeColor="text1"/>
              </w:rPr>
            </w:pPr>
            <w:r w:rsidRPr="004973A9">
              <w:rPr>
                <w:rFonts w:cs="Arial"/>
                <w:color w:val="000000" w:themeColor="text1"/>
              </w:rPr>
              <w:t>2%</w:t>
            </w:r>
          </w:p>
        </w:tc>
      </w:tr>
      <w:tr w:rsidR="00D84DF5" w:rsidRPr="00537E40" w14:paraId="076BE365" w14:textId="77777777" w:rsidTr="004973A9">
        <w:trPr>
          <w:trHeight w:val="34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6A1E29DD" w14:textId="77777777" w:rsidR="00D84DF5" w:rsidRDefault="00D84DF5">
            <w:pPr>
              <w:spacing w:after="0"/>
              <w:rPr>
                <w:rFonts w:cs="Arial"/>
                <w:b/>
                <w:bCs/>
                <w:color w:val="000000"/>
                <w:szCs w:val="20"/>
              </w:rPr>
            </w:pPr>
            <w:r>
              <w:rPr>
                <w:rFonts w:cs="Arial"/>
                <w:b/>
                <w:bCs/>
                <w:color w:val="000000"/>
                <w:szCs w:val="20"/>
              </w:rPr>
              <w:t>Retail</w:t>
            </w:r>
          </w:p>
        </w:tc>
        <w:tc>
          <w:tcPr>
            <w:tcW w:w="1251" w:type="dxa"/>
            <w:tcBorders>
              <w:top w:val="nil"/>
              <w:left w:val="nil"/>
              <w:bottom w:val="single" w:sz="4" w:space="0" w:color="auto"/>
              <w:right w:val="single" w:sz="4" w:space="0" w:color="auto"/>
            </w:tcBorders>
            <w:shd w:val="clear" w:color="auto" w:fill="auto"/>
            <w:noWrap/>
            <w:vAlign w:val="center"/>
          </w:tcPr>
          <w:p w14:paraId="1A680444" w14:textId="4C866588" w:rsidR="00D84DF5" w:rsidRPr="004973A9" w:rsidRDefault="00D84DF5">
            <w:pPr>
              <w:spacing w:after="0"/>
              <w:jc w:val="right"/>
              <w:rPr>
                <w:rFonts w:cs="Arial"/>
                <w:color w:val="000000" w:themeColor="text1"/>
              </w:rPr>
            </w:pPr>
            <w:r w:rsidRPr="004973A9">
              <w:rPr>
                <w:rFonts w:cs="Arial"/>
                <w:color w:val="000000" w:themeColor="text1"/>
              </w:rPr>
              <w:t xml:space="preserve">677 </w:t>
            </w:r>
          </w:p>
        </w:tc>
        <w:tc>
          <w:tcPr>
            <w:tcW w:w="1304" w:type="dxa"/>
            <w:tcBorders>
              <w:top w:val="nil"/>
              <w:left w:val="nil"/>
              <w:bottom w:val="single" w:sz="4" w:space="0" w:color="auto"/>
              <w:right w:val="single" w:sz="4" w:space="0" w:color="auto"/>
            </w:tcBorders>
            <w:shd w:val="clear" w:color="auto" w:fill="auto"/>
            <w:noWrap/>
            <w:vAlign w:val="center"/>
          </w:tcPr>
          <w:p w14:paraId="11EDB111" w14:textId="5AF1F589" w:rsidR="00D84DF5" w:rsidRPr="004973A9" w:rsidRDefault="00D84DF5">
            <w:pPr>
              <w:spacing w:after="0"/>
              <w:jc w:val="right"/>
              <w:rPr>
                <w:rFonts w:cs="Arial"/>
                <w:color w:val="000000" w:themeColor="text1"/>
              </w:rPr>
            </w:pPr>
            <w:r w:rsidRPr="004973A9">
              <w:rPr>
                <w:rFonts w:cs="Arial"/>
                <w:color w:val="000000" w:themeColor="text1"/>
              </w:rPr>
              <w:t xml:space="preserve">         799 </w:t>
            </w:r>
          </w:p>
        </w:tc>
        <w:tc>
          <w:tcPr>
            <w:tcW w:w="1304" w:type="dxa"/>
            <w:tcBorders>
              <w:top w:val="nil"/>
              <w:left w:val="nil"/>
              <w:bottom w:val="single" w:sz="4" w:space="0" w:color="auto"/>
              <w:right w:val="single" w:sz="4" w:space="0" w:color="auto"/>
            </w:tcBorders>
            <w:shd w:val="clear" w:color="auto" w:fill="auto"/>
            <w:noWrap/>
            <w:vAlign w:val="center"/>
          </w:tcPr>
          <w:p w14:paraId="673C035D" w14:textId="0F656E87" w:rsidR="00D84DF5" w:rsidRPr="004973A9" w:rsidRDefault="00D84DF5">
            <w:pPr>
              <w:spacing w:after="0"/>
              <w:jc w:val="right"/>
              <w:rPr>
                <w:rFonts w:cs="Arial"/>
                <w:color w:val="000000" w:themeColor="text1"/>
              </w:rPr>
            </w:pPr>
            <w:r w:rsidRPr="004973A9">
              <w:rPr>
                <w:rFonts w:cs="Arial"/>
                <w:color w:val="000000" w:themeColor="text1"/>
              </w:rPr>
              <w:t xml:space="preserve">         935 </w:t>
            </w:r>
          </w:p>
        </w:tc>
        <w:tc>
          <w:tcPr>
            <w:tcW w:w="1244" w:type="dxa"/>
            <w:tcBorders>
              <w:top w:val="nil"/>
              <w:left w:val="nil"/>
              <w:bottom w:val="single" w:sz="4" w:space="0" w:color="auto"/>
              <w:right w:val="single" w:sz="4" w:space="0" w:color="auto"/>
            </w:tcBorders>
            <w:shd w:val="clear" w:color="auto" w:fill="auto"/>
            <w:noWrap/>
            <w:vAlign w:val="center"/>
          </w:tcPr>
          <w:p w14:paraId="3E68F701" w14:textId="414DD7C8" w:rsidR="00D84DF5" w:rsidRPr="004973A9" w:rsidRDefault="00D84DF5">
            <w:pPr>
              <w:spacing w:after="0"/>
              <w:jc w:val="right"/>
              <w:rPr>
                <w:rFonts w:cs="Arial"/>
                <w:color w:val="000000" w:themeColor="text1"/>
              </w:rPr>
            </w:pPr>
            <w:r w:rsidRPr="004973A9">
              <w:rPr>
                <w:rFonts w:cs="Arial"/>
                <w:color w:val="000000" w:themeColor="text1"/>
              </w:rPr>
              <w:t xml:space="preserve">258 </w:t>
            </w:r>
          </w:p>
        </w:tc>
        <w:tc>
          <w:tcPr>
            <w:tcW w:w="1477" w:type="dxa"/>
            <w:tcBorders>
              <w:top w:val="nil"/>
              <w:left w:val="nil"/>
              <w:bottom w:val="single" w:sz="4" w:space="0" w:color="auto"/>
              <w:right w:val="single" w:sz="4" w:space="0" w:color="auto"/>
            </w:tcBorders>
            <w:shd w:val="clear" w:color="auto" w:fill="auto"/>
            <w:noWrap/>
            <w:vAlign w:val="center"/>
          </w:tcPr>
          <w:p w14:paraId="1579CC20" w14:textId="625BE9F9" w:rsidR="00D84DF5" w:rsidRPr="004973A9" w:rsidRDefault="00D84DF5">
            <w:pPr>
              <w:spacing w:after="0"/>
              <w:jc w:val="right"/>
              <w:rPr>
                <w:rFonts w:cs="Arial"/>
                <w:color w:val="000000" w:themeColor="text1"/>
              </w:rPr>
            </w:pPr>
            <w:r w:rsidRPr="004973A9">
              <w:rPr>
                <w:rFonts w:cs="Arial"/>
                <w:color w:val="000000" w:themeColor="text1"/>
              </w:rPr>
              <w:t>4%</w:t>
            </w:r>
          </w:p>
        </w:tc>
      </w:tr>
      <w:tr w:rsidR="00D84DF5" w:rsidRPr="00537E40" w14:paraId="7DFC50FF" w14:textId="77777777" w:rsidTr="004973A9">
        <w:trPr>
          <w:trHeight w:val="34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10878EEE" w14:textId="77777777" w:rsidR="00D84DF5" w:rsidRDefault="00D84DF5">
            <w:pPr>
              <w:spacing w:after="0"/>
              <w:rPr>
                <w:rFonts w:cs="Arial"/>
                <w:b/>
                <w:bCs/>
                <w:color w:val="000000"/>
                <w:szCs w:val="20"/>
              </w:rPr>
            </w:pPr>
            <w:r>
              <w:rPr>
                <w:rFonts w:cs="Arial"/>
                <w:b/>
                <w:bCs/>
                <w:color w:val="000000"/>
                <w:szCs w:val="20"/>
              </w:rPr>
              <w:t>Industrial</w:t>
            </w:r>
          </w:p>
        </w:tc>
        <w:tc>
          <w:tcPr>
            <w:tcW w:w="1251" w:type="dxa"/>
            <w:tcBorders>
              <w:top w:val="nil"/>
              <w:left w:val="nil"/>
              <w:bottom w:val="single" w:sz="4" w:space="0" w:color="auto"/>
              <w:right w:val="single" w:sz="4" w:space="0" w:color="auto"/>
            </w:tcBorders>
            <w:shd w:val="clear" w:color="auto" w:fill="auto"/>
            <w:noWrap/>
            <w:vAlign w:val="center"/>
          </w:tcPr>
          <w:p w14:paraId="217F287C" w14:textId="7B2BD8E2" w:rsidR="00D84DF5" w:rsidRPr="004973A9" w:rsidRDefault="00D84DF5">
            <w:pPr>
              <w:spacing w:after="0"/>
              <w:jc w:val="right"/>
              <w:rPr>
                <w:rFonts w:cs="Arial"/>
                <w:color w:val="000000" w:themeColor="text1"/>
              </w:rPr>
            </w:pPr>
            <w:r w:rsidRPr="004973A9">
              <w:rPr>
                <w:rFonts w:cs="Arial"/>
                <w:color w:val="000000" w:themeColor="text1"/>
              </w:rPr>
              <w:t xml:space="preserve">4,420 </w:t>
            </w:r>
          </w:p>
        </w:tc>
        <w:tc>
          <w:tcPr>
            <w:tcW w:w="1304" w:type="dxa"/>
            <w:tcBorders>
              <w:top w:val="nil"/>
              <w:left w:val="nil"/>
              <w:bottom w:val="single" w:sz="4" w:space="0" w:color="auto"/>
              <w:right w:val="single" w:sz="4" w:space="0" w:color="auto"/>
            </w:tcBorders>
            <w:shd w:val="clear" w:color="auto" w:fill="auto"/>
            <w:noWrap/>
            <w:vAlign w:val="center"/>
          </w:tcPr>
          <w:p w14:paraId="474A1744" w14:textId="5C2C57BA" w:rsidR="00D84DF5" w:rsidRPr="004973A9" w:rsidRDefault="00D84DF5">
            <w:pPr>
              <w:spacing w:after="0"/>
              <w:jc w:val="right"/>
              <w:rPr>
                <w:rFonts w:cs="Arial"/>
                <w:color w:val="000000" w:themeColor="text1"/>
              </w:rPr>
            </w:pPr>
            <w:r w:rsidRPr="004973A9">
              <w:rPr>
                <w:rFonts w:cs="Arial"/>
                <w:color w:val="000000" w:themeColor="text1"/>
              </w:rPr>
              <w:t xml:space="preserve">      4,130 </w:t>
            </w:r>
          </w:p>
        </w:tc>
        <w:tc>
          <w:tcPr>
            <w:tcW w:w="1304" w:type="dxa"/>
            <w:tcBorders>
              <w:top w:val="nil"/>
              <w:left w:val="nil"/>
              <w:bottom w:val="single" w:sz="4" w:space="0" w:color="auto"/>
              <w:right w:val="single" w:sz="4" w:space="0" w:color="auto"/>
            </w:tcBorders>
            <w:shd w:val="clear" w:color="auto" w:fill="auto"/>
            <w:noWrap/>
            <w:vAlign w:val="center"/>
          </w:tcPr>
          <w:p w14:paraId="4552E144" w14:textId="2C2E5DB4" w:rsidR="00D84DF5" w:rsidRPr="004973A9" w:rsidRDefault="00D84DF5">
            <w:pPr>
              <w:spacing w:after="0"/>
              <w:jc w:val="right"/>
              <w:rPr>
                <w:rFonts w:cs="Arial"/>
                <w:color w:val="000000" w:themeColor="text1"/>
              </w:rPr>
            </w:pPr>
            <w:r w:rsidRPr="004973A9">
              <w:rPr>
                <w:rFonts w:cs="Arial"/>
                <w:color w:val="000000" w:themeColor="text1"/>
              </w:rPr>
              <w:t xml:space="preserve">      3,744 </w:t>
            </w:r>
          </w:p>
        </w:tc>
        <w:tc>
          <w:tcPr>
            <w:tcW w:w="1244" w:type="dxa"/>
            <w:tcBorders>
              <w:top w:val="nil"/>
              <w:left w:val="nil"/>
              <w:bottom w:val="single" w:sz="4" w:space="0" w:color="auto"/>
              <w:right w:val="single" w:sz="4" w:space="0" w:color="auto"/>
            </w:tcBorders>
            <w:shd w:val="clear" w:color="auto" w:fill="auto"/>
            <w:noWrap/>
            <w:vAlign w:val="center"/>
          </w:tcPr>
          <w:p w14:paraId="310AF213" w14:textId="09CD81C9" w:rsidR="00D84DF5" w:rsidRPr="004973A9" w:rsidRDefault="00D84DF5">
            <w:pPr>
              <w:spacing w:after="0"/>
              <w:jc w:val="right"/>
              <w:rPr>
                <w:rFonts w:cs="Arial"/>
                <w:color w:val="000000" w:themeColor="text1"/>
              </w:rPr>
            </w:pPr>
            <w:r w:rsidRPr="004973A9">
              <w:rPr>
                <w:rFonts w:cs="Arial"/>
                <w:color w:val="000000" w:themeColor="text1"/>
              </w:rPr>
              <w:t xml:space="preserve">-676 </w:t>
            </w:r>
          </w:p>
        </w:tc>
        <w:tc>
          <w:tcPr>
            <w:tcW w:w="1477" w:type="dxa"/>
            <w:tcBorders>
              <w:top w:val="nil"/>
              <w:left w:val="nil"/>
              <w:bottom w:val="single" w:sz="4" w:space="0" w:color="auto"/>
              <w:right w:val="single" w:sz="4" w:space="0" w:color="auto"/>
            </w:tcBorders>
            <w:shd w:val="clear" w:color="auto" w:fill="auto"/>
            <w:noWrap/>
            <w:vAlign w:val="center"/>
          </w:tcPr>
          <w:p w14:paraId="14AD69E1" w14:textId="2BF8A2C2" w:rsidR="00D84DF5" w:rsidRPr="004973A9" w:rsidRDefault="00D84DF5">
            <w:pPr>
              <w:spacing w:after="0"/>
              <w:jc w:val="right"/>
              <w:rPr>
                <w:rFonts w:cs="Arial"/>
                <w:color w:val="000000" w:themeColor="text1"/>
              </w:rPr>
            </w:pPr>
            <w:r w:rsidRPr="004973A9">
              <w:rPr>
                <w:rFonts w:cs="Arial"/>
                <w:color w:val="000000" w:themeColor="text1"/>
              </w:rPr>
              <w:t>-11%</w:t>
            </w:r>
          </w:p>
        </w:tc>
      </w:tr>
      <w:tr w:rsidR="00D84DF5" w:rsidRPr="00537E40" w14:paraId="77C40DB1" w14:textId="77777777" w:rsidTr="004973A9">
        <w:trPr>
          <w:trHeight w:val="340"/>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2AFF1CDC" w14:textId="77777777" w:rsidR="00D84DF5" w:rsidRDefault="00D84DF5">
            <w:pPr>
              <w:spacing w:after="0"/>
              <w:rPr>
                <w:rFonts w:cs="Arial"/>
                <w:b/>
                <w:bCs/>
                <w:color w:val="000000"/>
                <w:szCs w:val="20"/>
              </w:rPr>
            </w:pPr>
            <w:r>
              <w:rPr>
                <w:rFonts w:cs="Arial"/>
                <w:b/>
                <w:bCs/>
                <w:color w:val="000000"/>
                <w:szCs w:val="20"/>
              </w:rPr>
              <w:t>Total (City of Melbourne)</w:t>
            </w:r>
          </w:p>
        </w:tc>
        <w:tc>
          <w:tcPr>
            <w:tcW w:w="1251" w:type="dxa"/>
            <w:tcBorders>
              <w:top w:val="nil"/>
              <w:left w:val="nil"/>
              <w:bottom w:val="single" w:sz="4" w:space="0" w:color="auto"/>
              <w:right w:val="single" w:sz="4" w:space="0" w:color="auto"/>
            </w:tcBorders>
            <w:shd w:val="clear" w:color="auto" w:fill="auto"/>
            <w:noWrap/>
            <w:vAlign w:val="center"/>
          </w:tcPr>
          <w:p w14:paraId="35546216" w14:textId="7C88C2CA" w:rsidR="00D84DF5" w:rsidRPr="004973A9" w:rsidRDefault="00D84DF5">
            <w:pPr>
              <w:spacing w:after="0"/>
              <w:jc w:val="right"/>
              <w:rPr>
                <w:rFonts w:cs="Arial"/>
                <w:b/>
                <w:bCs/>
                <w:color w:val="000000" w:themeColor="text1"/>
              </w:rPr>
            </w:pPr>
            <w:r w:rsidRPr="004973A9">
              <w:rPr>
                <w:rFonts w:cs="Arial"/>
                <w:b/>
                <w:bCs/>
                <w:color w:val="000000" w:themeColor="text1"/>
              </w:rPr>
              <w:t xml:space="preserve">26,935 </w:t>
            </w:r>
          </w:p>
        </w:tc>
        <w:tc>
          <w:tcPr>
            <w:tcW w:w="1304" w:type="dxa"/>
            <w:tcBorders>
              <w:top w:val="nil"/>
              <w:left w:val="nil"/>
              <w:bottom w:val="single" w:sz="4" w:space="0" w:color="auto"/>
              <w:right w:val="single" w:sz="4" w:space="0" w:color="auto"/>
            </w:tcBorders>
            <w:shd w:val="clear" w:color="auto" w:fill="auto"/>
            <w:noWrap/>
            <w:vAlign w:val="center"/>
          </w:tcPr>
          <w:p w14:paraId="21F15C3D" w14:textId="25A5C92E" w:rsidR="00D84DF5" w:rsidRPr="004973A9" w:rsidRDefault="00D84DF5">
            <w:pPr>
              <w:spacing w:after="0"/>
              <w:jc w:val="right"/>
              <w:rPr>
                <w:rFonts w:cs="Arial"/>
                <w:b/>
                <w:bCs/>
                <w:color w:val="000000" w:themeColor="text1"/>
              </w:rPr>
            </w:pPr>
            <w:r w:rsidRPr="004973A9">
              <w:rPr>
                <w:rFonts w:cs="Arial"/>
                <w:b/>
                <w:bCs/>
                <w:color w:val="000000" w:themeColor="text1"/>
              </w:rPr>
              <w:t xml:space="preserve">    30,026 </w:t>
            </w:r>
          </w:p>
        </w:tc>
        <w:tc>
          <w:tcPr>
            <w:tcW w:w="1304" w:type="dxa"/>
            <w:tcBorders>
              <w:top w:val="nil"/>
              <w:left w:val="nil"/>
              <w:bottom w:val="single" w:sz="4" w:space="0" w:color="auto"/>
              <w:right w:val="single" w:sz="4" w:space="0" w:color="auto"/>
            </w:tcBorders>
            <w:shd w:val="clear" w:color="auto" w:fill="auto"/>
            <w:noWrap/>
            <w:vAlign w:val="center"/>
          </w:tcPr>
          <w:p w14:paraId="49B3817C" w14:textId="64239EAF" w:rsidR="00D84DF5" w:rsidRPr="004973A9" w:rsidRDefault="00D84DF5">
            <w:pPr>
              <w:spacing w:after="0"/>
              <w:jc w:val="right"/>
              <w:rPr>
                <w:rFonts w:cs="Arial"/>
                <w:b/>
                <w:bCs/>
                <w:color w:val="000000" w:themeColor="text1"/>
              </w:rPr>
            </w:pPr>
            <w:r w:rsidRPr="004973A9">
              <w:rPr>
                <w:rFonts w:cs="Arial"/>
                <w:b/>
                <w:bCs/>
                <w:color w:val="000000" w:themeColor="text1"/>
              </w:rPr>
              <w:t xml:space="preserve">    33,246 </w:t>
            </w:r>
          </w:p>
        </w:tc>
        <w:tc>
          <w:tcPr>
            <w:tcW w:w="1244" w:type="dxa"/>
            <w:tcBorders>
              <w:top w:val="nil"/>
              <w:left w:val="nil"/>
              <w:bottom w:val="single" w:sz="4" w:space="0" w:color="auto"/>
              <w:right w:val="single" w:sz="4" w:space="0" w:color="auto"/>
            </w:tcBorders>
            <w:shd w:val="clear" w:color="auto" w:fill="auto"/>
            <w:noWrap/>
            <w:vAlign w:val="center"/>
          </w:tcPr>
          <w:p w14:paraId="131B7C2F" w14:textId="458B8986" w:rsidR="00D84DF5" w:rsidRPr="004973A9" w:rsidRDefault="00D84DF5">
            <w:pPr>
              <w:spacing w:after="0"/>
              <w:jc w:val="right"/>
              <w:rPr>
                <w:rFonts w:cs="Arial"/>
                <w:b/>
                <w:bCs/>
                <w:color w:val="000000" w:themeColor="text1"/>
              </w:rPr>
            </w:pPr>
            <w:r w:rsidRPr="004973A9">
              <w:rPr>
                <w:rFonts w:cs="Arial"/>
                <w:b/>
                <w:bCs/>
                <w:color w:val="000000" w:themeColor="text1"/>
              </w:rPr>
              <w:t xml:space="preserve">6,311 </w:t>
            </w:r>
          </w:p>
        </w:tc>
        <w:tc>
          <w:tcPr>
            <w:tcW w:w="1477" w:type="dxa"/>
            <w:tcBorders>
              <w:top w:val="nil"/>
              <w:left w:val="nil"/>
              <w:bottom w:val="single" w:sz="4" w:space="0" w:color="auto"/>
              <w:right w:val="single" w:sz="4" w:space="0" w:color="auto"/>
            </w:tcBorders>
            <w:shd w:val="clear" w:color="auto" w:fill="auto"/>
            <w:noWrap/>
            <w:vAlign w:val="center"/>
          </w:tcPr>
          <w:p w14:paraId="21084E7D" w14:textId="1527AD61" w:rsidR="00D84DF5" w:rsidRPr="004973A9" w:rsidRDefault="00D84DF5">
            <w:pPr>
              <w:spacing w:after="0"/>
              <w:jc w:val="right"/>
              <w:rPr>
                <w:rFonts w:cs="Arial"/>
                <w:b/>
                <w:bCs/>
                <w:color w:val="000000" w:themeColor="text1"/>
              </w:rPr>
            </w:pPr>
            <w:r w:rsidRPr="004973A9">
              <w:rPr>
                <w:rFonts w:cs="Arial"/>
                <w:b/>
                <w:bCs/>
                <w:color w:val="000000" w:themeColor="text1"/>
              </w:rPr>
              <w:t>100%</w:t>
            </w:r>
          </w:p>
        </w:tc>
      </w:tr>
    </w:tbl>
    <w:p w14:paraId="0FA7DD52" w14:textId="41B68546" w:rsidR="004C6848" w:rsidRPr="00537E40" w:rsidRDefault="004C6848" w:rsidP="110985B9">
      <w:pPr>
        <w:spacing w:before="120"/>
        <w:rPr>
          <w:sz w:val="16"/>
          <w:szCs w:val="16"/>
        </w:rPr>
      </w:pPr>
      <w:r w:rsidRPr="110985B9">
        <w:rPr>
          <w:sz w:val="16"/>
          <w:szCs w:val="16"/>
        </w:rPr>
        <w:t xml:space="preserve">Source: SGS Economics and Planning, </w:t>
      </w:r>
      <w:r w:rsidR="00070E34" w:rsidRPr="110985B9">
        <w:rPr>
          <w:sz w:val="16"/>
          <w:szCs w:val="16"/>
        </w:rPr>
        <w:t>2022</w:t>
      </w:r>
      <w:r w:rsidR="00345820" w:rsidRPr="110985B9">
        <w:rPr>
          <w:sz w:val="16"/>
          <w:szCs w:val="16"/>
        </w:rPr>
        <w:t xml:space="preserve">.  </w:t>
      </w:r>
      <w:r w:rsidR="00915EAC" w:rsidRPr="110985B9">
        <w:rPr>
          <w:sz w:val="16"/>
          <w:szCs w:val="16"/>
        </w:rPr>
        <w:t>Table shows rounded figures.</w:t>
      </w:r>
    </w:p>
    <w:p w14:paraId="37B0DCB9" w14:textId="77777777" w:rsidR="00B61D4E" w:rsidRDefault="00B61D4E" w:rsidP="00E34073">
      <w:pPr>
        <w:pStyle w:val="Heading1"/>
        <w:rPr>
          <w:rFonts w:hint="eastAsia"/>
        </w:rPr>
      </w:pPr>
      <w:r>
        <w:rPr>
          <w:sz w:val="16"/>
        </w:rPr>
        <w:br w:type="page"/>
      </w:r>
      <w:bookmarkStart w:id="32" w:name="_Toc119682400"/>
      <w:r w:rsidRPr="00537E40">
        <w:lastRenderedPageBreak/>
        <w:t>Appendix</w:t>
      </w:r>
      <w:r w:rsidR="00363025">
        <w:t xml:space="preserve"> </w:t>
      </w:r>
      <w:r>
        <w:t>2</w:t>
      </w:r>
      <w:r w:rsidR="00363025">
        <w:t>:</w:t>
      </w:r>
      <w:r w:rsidRPr="00537E40">
        <w:t xml:space="preserve"> </w:t>
      </w:r>
      <w:r w:rsidRPr="00B61D4E">
        <w:t>Industr</w:t>
      </w:r>
      <w:r>
        <w:t xml:space="preserve">y </w:t>
      </w:r>
      <w:r w:rsidR="008C23CF">
        <w:t>c</w:t>
      </w:r>
      <w:r>
        <w:t>ate</w:t>
      </w:r>
      <w:r w:rsidRPr="00B61D4E">
        <w:t>gories</w:t>
      </w:r>
      <w:bookmarkEnd w:id="32"/>
    </w:p>
    <w:p w14:paraId="5E23189B" w14:textId="77777777" w:rsidR="00363025" w:rsidRDefault="008C23CF" w:rsidP="00363025">
      <w:pPr>
        <w:rPr>
          <w:lang w:val="en-US"/>
        </w:rPr>
      </w:pPr>
      <w:r>
        <w:rPr>
          <w:lang w:val="en-US"/>
        </w:rPr>
        <w:t xml:space="preserve">The following presents the list of broad industry categories used in the </w:t>
      </w:r>
      <w:r w:rsidR="007A4524">
        <w:rPr>
          <w:lang w:val="en-US"/>
        </w:rPr>
        <w:t>forecast model</w:t>
      </w:r>
      <w:r>
        <w:rPr>
          <w:lang w:val="en-US"/>
        </w:rPr>
        <w:t xml:space="preserve"> which come from CLUE. These broad categories roughly map to</w:t>
      </w:r>
      <w:bookmarkEnd w:id="7"/>
      <w:bookmarkEnd w:id="8"/>
      <w:bookmarkEnd w:id="9"/>
      <w:r w:rsidR="00BF4912">
        <w:rPr>
          <w:lang w:val="en-US"/>
        </w:rPr>
        <w:t xml:space="preserve"> level one of</w:t>
      </w:r>
      <w:r>
        <w:rPr>
          <w:lang w:val="en-US"/>
        </w:rPr>
        <w:t xml:space="preserve"> the </w:t>
      </w:r>
      <w:hyperlink r:id="rId15" w:history="1">
        <w:r w:rsidR="00363025" w:rsidRPr="001D104E">
          <w:rPr>
            <w:rStyle w:val="Hyperlink"/>
            <w:lang w:val="en-US"/>
          </w:rPr>
          <w:t>Australian New Zealand Standard Industrial Classification (ANZSIC)</w:t>
        </w:r>
      </w:hyperlink>
      <w:r w:rsidR="00363025">
        <w:rPr>
          <w:rStyle w:val="FootnoteReference"/>
          <w:lang w:val="en-US"/>
        </w:rPr>
        <w:footnoteReference w:id="4"/>
      </w:r>
      <w:r w:rsidR="001D104E">
        <w:rPr>
          <w:lang w:val="en-US"/>
        </w:rPr>
        <w:t xml:space="preserve"> developed by the ABS.</w:t>
      </w:r>
    </w:p>
    <w:p w14:paraId="7AB300EE" w14:textId="77777777" w:rsidR="00363025" w:rsidRDefault="00363025" w:rsidP="00363025">
      <w:pPr>
        <w:rPr>
          <w:lang w:val="en-US"/>
        </w:rPr>
      </w:pPr>
      <w:r>
        <w:rPr>
          <w:lang w:val="en-US"/>
        </w:rPr>
        <w:t xml:space="preserve">More </w:t>
      </w:r>
      <w:r w:rsidR="007A4524">
        <w:rPr>
          <w:lang w:val="en-US"/>
        </w:rPr>
        <w:t xml:space="preserve">information about CLUE industries </w:t>
      </w:r>
      <w:r>
        <w:rPr>
          <w:lang w:val="en-US"/>
        </w:rPr>
        <w:t>can be found</w:t>
      </w:r>
      <w:r w:rsidR="00551CD9">
        <w:rPr>
          <w:lang w:val="en-US"/>
        </w:rPr>
        <w:t xml:space="preserve"> in</w:t>
      </w:r>
      <w:r>
        <w:rPr>
          <w:lang w:val="en-US"/>
        </w:rPr>
        <w:t xml:space="preserve"> the </w:t>
      </w:r>
      <w:hyperlink r:id="rId16" w:history="1">
        <w:r>
          <w:rPr>
            <w:rStyle w:val="Hyperlink"/>
            <w:lang w:val="en-US"/>
          </w:rPr>
          <w:t>CLUE Definition</w:t>
        </w:r>
        <w:r w:rsidR="001D104E">
          <w:rPr>
            <w:rStyle w:val="Hyperlink"/>
            <w:lang w:val="en-US"/>
          </w:rPr>
          <w:t>s (</w:t>
        </w:r>
      </w:hyperlink>
      <w:r w:rsidR="001D104E">
        <w:rPr>
          <w:rStyle w:val="Hyperlink"/>
          <w:lang w:val="en-US"/>
        </w:rPr>
        <w:t>PDF)</w:t>
      </w:r>
      <w:bookmarkStart w:id="33" w:name="_Ref84260856"/>
      <w:r w:rsidR="00C2251F" w:rsidRPr="00C2251F">
        <w:rPr>
          <w:rStyle w:val="FootnoteReference"/>
        </w:rPr>
        <w:footnoteReference w:id="5"/>
      </w:r>
      <w:bookmarkEnd w:id="33"/>
      <w:r w:rsidR="008C23CF">
        <w:rPr>
          <w:lang w:val="en-US"/>
        </w:rPr>
        <w:t xml:space="preserve"> on City of Melb</w:t>
      </w:r>
      <w:r w:rsidR="008E0C7D">
        <w:rPr>
          <w:lang w:val="en-US"/>
        </w:rPr>
        <w:t>ourne’s Open Data P</w:t>
      </w:r>
      <w:r w:rsidR="008C23CF">
        <w:rPr>
          <w:lang w:val="en-US"/>
        </w:rPr>
        <w:t>latform.</w:t>
      </w:r>
    </w:p>
    <w:tbl>
      <w:tblPr>
        <w:tblW w:w="9520" w:type="dxa"/>
        <w:tblLook w:val="04A0" w:firstRow="1" w:lastRow="0" w:firstColumn="1" w:lastColumn="0" w:noHBand="0" w:noVBand="1"/>
      </w:tblPr>
      <w:tblGrid>
        <w:gridCol w:w="4760"/>
        <w:gridCol w:w="4760"/>
      </w:tblGrid>
      <w:tr w:rsidR="007A4524" w:rsidRPr="008C23CF" w14:paraId="6EB42507" w14:textId="77777777" w:rsidTr="00551CD9">
        <w:trPr>
          <w:trHeight w:val="340"/>
        </w:trPr>
        <w:tc>
          <w:tcPr>
            <w:tcW w:w="4760" w:type="dxa"/>
            <w:tcBorders>
              <w:top w:val="single" w:sz="4" w:space="0" w:color="auto"/>
              <w:left w:val="single" w:sz="4" w:space="0" w:color="auto"/>
              <w:bottom w:val="single" w:sz="4" w:space="0" w:color="auto"/>
              <w:right w:val="single" w:sz="4" w:space="0" w:color="auto"/>
            </w:tcBorders>
            <w:vAlign w:val="center"/>
          </w:tcPr>
          <w:p w14:paraId="2B1A7F41" w14:textId="77777777" w:rsidR="007A4524" w:rsidRPr="007A4524" w:rsidRDefault="007A4524" w:rsidP="007A4524">
            <w:pPr>
              <w:spacing w:after="0" w:line="240" w:lineRule="auto"/>
              <w:rPr>
                <w:rFonts w:eastAsia="Times New Roman" w:cs="Arial"/>
                <w:b/>
                <w:color w:val="000000"/>
                <w:szCs w:val="22"/>
                <w:lang w:eastAsia="en-AU"/>
              </w:rPr>
            </w:pPr>
            <w:r>
              <w:rPr>
                <w:rFonts w:eastAsia="Times New Roman" w:cs="Arial"/>
                <w:b/>
                <w:color w:val="000000"/>
                <w:szCs w:val="22"/>
                <w:lang w:eastAsia="en-AU"/>
              </w:rPr>
              <w:t>ABS ANZSIC1</w:t>
            </w:r>
          </w:p>
        </w:tc>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2D4E8" w14:textId="77777777" w:rsidR="007A4524" w:rsidRPr="008C23CF" w:rsidRDefault="007A4524" w:rsidP="007A4524">
            <w:pPr>
              <w:spacing w:after="0" w:line="240" w:lineRule="auto"/>
              <w:rPr>
                <w:rFonts w:eastAsia="Times New Roman" w:cs="Arial"/>
                <w:b/>
                <w:color w:val="000000"/>
                <w:szCs w:val="22"/>
                <w:lang w:eastAsia="en-AU"/>
              </w:rPr>
            </w:pPr>
            <w:r w:rsidRPr="007A4524">
              <w:rPr>
                <w:rFonts w:eastAsia="Times New Roman" w:cs="Arial"/>
                <w:b/>
                <w:color w:val="000000"/>
                <w:szCs w:val="22"/>
                <w:lang w:eastAsia="en-AU"/>
              </w:rPr>
              <w:t>Forecast model industries</w:t>
            </w:r>
          </w:p>
        </w:tc>
      </w:tr>
      <w:tr w:rsidR="007A4524" w:rsidRPr="008C23CF" w14:paraId="005AFF9E"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783E2AFD"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Accommodation and Food Services</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1799DED6"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Accommodation</w:t>
            </w:r>
          </w:p>
        </w:tc>
      </w:tr>
      <w:tr w:rsidR="007A4524" w:rsidRPr="008C23CF" w14:paraId="7E5BCBB9"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0B90398E"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Administrative and Support Services</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0049C6E5"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Admin and Support Services</w:t>
            </w:r>
          </w:p>
        </w:tc>
      </w:tr>
      <w:tr w:rsidR="007A4524" w:rsidRPr="008C23CF" w14:paraId="36D8F56C"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492506D0"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Agriculture, Forestry and Fishing</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65E0B5CC"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Agriculture and Mining</w:t>
            </w:r>
          </w:p>
        </w:tc>
      </w:tr>
      <w:tr w:rsidR="007A4524" w:rsidRPr="008C23CF" w14:paraId="4BA1AE2C"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23F51495"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Mining</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2FC5915C"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Agriculture and Mining</w:t>
            </w:r>
          </w:p>
        </w:tc>
      </w:tr>
      <w:tr w:rsidR="007A4524" w:rsidRPr="008C23CF" w14:paraId="3AF90ACC"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2F246DBC"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Arts and Recreation Services</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2B3E8F19"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Arts and Recreation Services</w:t>
            </w:r>
          </w:p>
        </w:tc>
      </w:tr>
      <w:tr w:rsidR="007A4524" w:rsidRPr="008C23CF" w14:paraId="22A15365"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168104D0"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Professional, Scientific and Technical Services</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36F8A640"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Business Services</w:t>
            </w:r>
          </w:p>
        </w:tc>
      </w:tr>
      <w:tr w:rsidR="007A4524" w:rsidRPr="008C23CF" w14:paraId="25237730"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3076922F"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Construction</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7817F8B2"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Construction</w:t>
            </w:r>
          </w:p>
        </w:tc>
      </w:tr>
      <w:tr w:rsidR="007A4524" w:rsidRPr="008C23CF" w14:paraId="7FF8400C"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213D0E9E"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Education and Training</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1E6DEBD5"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Education and Training</w:t>
            </w:r>
          </w:p>
        </w:tc>
      </w:tr>
      <w:tr w:rsidR="007A4524" w:rsidRPr="008C23CF" w14:paraId="757E2E09"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683EEFBA"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Electricity, Gas, Water and Waste Services</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751E1733"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Electricity, Gas, Water and Waste Services</w:t>
            </w:r>
          </w:p>
        </w:tc>
      </w:tr>
      <w:tr w:rsidR="007A4524" w:rsidRPr="008C23CF" w14:paraId="4A1F7180"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144E7286"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Financial and Insurance Services</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5ABD78C3"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Finance and Insurance</w:t>
            </w:r>
          </w:p>
        </w:tc>
      </w:tr>
      <w:tr w:rsidR="007A4524" w:rsidRPr="008C23CF" w14:paraId="687E4125"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65D91DD8"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Accommodation and Food Services</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6599F8A0"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Food and Beverage Services</w:t>
            </w:r>
          </w:p>
        </w:tc>
      </w:tr>
      <w:tr w:rsidR="007A4524" w:rsidRPr="008C23CF" w14:paraId="4EBE2EF8"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3BFB8499"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Health Care and Social Assistance</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5D21AD42"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Health Care and Social Assistance</w:t>
            </w:r>
          </w:p>
        </w:tc>
      </w:tr>
      <w:tr w:rsidR="007A4524" w:rsidRPr="008C23CF" w14:paraId="09ECDF65"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01C54892"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Information Media and Telecommunications</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33123DF0"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Information Media and Telecommunications</w:t>
            </w:r>
          </w:p>
        </w:tc>
      </w:tr>
      <w:tr w:rsidR="007A4524" w:rsidRPr="008C23CF" w14:paraId="12BAFDD8"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4D1AE0EE"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Manufacturing</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4CE5BC70"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Manufacturing</w:t>
            </w:r>
          </w:p>
        </w:tc>
      </w:tr>
      <w:tr w:rsidR="007A4524" w:rsidRPr="008C23CF" w14:paraId="6BA391C7"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335D1708"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Other Services</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399B270B"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Other Services</w:t>
            </w:r>
          </w:p>
        </w:tc>
      </w:tr>
      <w:tr w:rsidR="007A4524" w:rsidRPr="008C23CF" w14:paraId="035C3E38"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63D3F384"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Public Administration and Safety</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6934CA23"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Public Administration and Safety</w:t>
            </w:r>
          </w:p>
        </w:tc>
      </w:tr>
      <w:tr w:rsidR="007A4524" w:rsidRPr="008C23CF" w14:paraId="77A87C99"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6205190A"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Rental, Hiring and Real Estate Services</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4C0CF054"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Real Estate Services</w:t>
            </w:r>
          </w:p>
        </w:tc>
      </w:tr>
      <w:tr w:rsidR="007A4524" w:rsidRPr="008C23CF" w14:paraId="20DD60B0"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54678CE2"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Rental, Hiring and Real Estate Services</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1D8C5ABF"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Rental and Hiring Services</w:t>
            </w:r>
          </w:p>
        </w:tc>
      </w:tr>
      <w:tr w:rsidR="007A4524" w:rsidRPr="008C23CF" w14:paraId="5EFA2371"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27EB7EA1"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Retail Trade</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3EB9D01A"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Retail Trade</w:t>
            </w:r>
          </w:p>
        </w:tc>
      </w:tr>
      <w:tr w:rsidR="007A4524" w:rsidRPr="008C23CF" w14:paraId="73F052C3"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4DC0FFE4"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Transport, Postal and Warehousing</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049B65F8"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Transport, Postal and Storage</w:t>
            </w:r>
          </w:p>
        </w:tc>
      </w:tr>
      <w:tr w:rsidR="007A4524" w:rsidRPr="008C23CF" w14:paraId="23A8EAC6" w14:textId="77777777" w:rsidTr="00551CD9">
        <w:trPr>
          <w:trHeight w:val="340"/>
        </w:trPr>
        <w:tc>
          <w:tcPr>
            <w:tcW w:w="4760" w:type="dxa"/>
            <w:tcBorders>
              <w:top w:val="nil"/>
              <w:left w:val="single" w:sz="4" w:space="0" w:color="auto"/>
              <w:bottom w:val="single" w:sz="4" w:space="0" w:color="auto"/>
              <w:right w:val="single" w:sz="4" w:space="0" w:color="auto"/>
            </w:tcBorders>
            <w:vAlign w:val="center"/>
          </w:tcPr>
          <w:p w14:paraId="3236F232"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Wholesale Trade</w:t>
            </w:r>
          </w:p>
        </w:tc>
        <w:tc>
          <w:tcPr>
            <w:tcW w:w="4760" w:type="dxa"/>
            <w:tcBorders>
              <w:top w:val="nil"/>
              <w:left w:val="single" w:sz="4" w:space="0" w:color="auto"/>
              <w:bottom w:val="single" w:sz="4" w:space="0" w:color="auto"/>
              <w:right w:val="single" w:sz="4" w:space="0" w:color="auto"/>
            </w:tcBorders>
            <w:shd w:val="clear" w:color="auto" w:fill="auto"/>
            <w:noWrap/>
            <w:vAlign w:val="center"/>
            <w:hideMark/>
          </w:tcPr>
          <w:p w14:paraId="51C76C67" w14:textId="77777777" w:rsidR="007A4524" w:rsidRPr="008C23CF" w:rsidRDefault="007A4524" w:rsidP="007A4524">
            <w:pPr>
              <w:spacing w:after="0" w:line="240" w:lineRule="auto"/>
              <w:rPr>
                <w:rFonts w:eastAsia="Times New Roman" w:cs="Arial"/>
                <w:color w:val="000000"/>
                <w:szCs w:val="22"/>
                <w:lang w:eastAsia="en-AU"/>
              </w:rPr>
            </w:pPr>
            <w:r w:rsidRPr="008C23CF">
              <w:rPr>
                <w:rFonts w:eastAsia="Times New Roman" w:cs="Arial"/>
                <w:color w:val="000000"/>
                <w:szCs w:val="22"/>
                <w:lang w:eastAsia="en-AU"/>
              </w:rPr>
              <w:t>Wholesale Trade</w:t>
            </w:r>
          </w:p>
        </w:tc>
      </w:tr>
    </w:tbl>
    <w:p w14:paraId="02EB378F" w14:textId="77777777" w:rsidR="008C23CF" w:rsidRDefault="008C23CF" w:rsidP="00363025">
      <w:pPr>
        <w:rPr>
          <w:lang w:val="en-US"/>
        </w:rPr>
      </w:pPr>
    </w:p>
    <w:p w14:paraId="1E9965FF" w14:textId="77777777" w:rsidR="008C23CF" w:rsidRDefault="008C23CF" w:rsidP="00E34073">
      <w:pPr>
        <w:pStyle w:val="Heading1"/>
        <w:rPr>
          <w:rFonts w:hint="eastAsia"/>
        </w:rPr>
      </w:pPr>
      <w:r>
        <w:br w:type="page"/>
      </w:r>
      <w:bookmarkStart w:id="34" w:name="_Toc119682401"/>
      <w:r w:rsidRPr="00537E40">
        <w:lastRenderedPageBreak/>
        <w:t>Appendix</w:t>
      </w:r>
      <w:r>
        <w:t xml:space="preserve"> 3:</w:t>
      </w:r>
      <w:r w:rsidRPr="00537E40">
        <w:t xml:space="preserve"> </w:t>
      </w:r>
      <w:r>
        <w:t>Space use cate</w:t>
      </w:r>
      <w:r w:rsidRPr="00B61D4E">
        <w:t>gories</w:t>
      </w:r>
      <w:bookmarkEnd w:id="34"/>
    </w:p>
    <w:p w14:paraId="5EEA96EB" w14:textId="77777777" w:rsidR="007A4524" w:rsidRDefault="008C23CF" w:rsidP="008C23CF">
      <w:pPr>
        <w:rPr>
          <w:lang w:val="en-US"/>
        </w:rPr>
      </w:pPr>
      <w:r>
        <w:rPr>
          <w:lang w:val="en-US"/>
        </w:rPr>
        <w:t xml:space="preserve">The following presents the list of </w:t>
      </w:r>
      <w:r w:rsidR="007A4524">
        <w:rPr>
          <w:lang w:val="en-US"/>
        </w:rPr>
        <w:t>space use categories</w:t>
      </w:r>
      <w:r>
        <w:rPr>
          <w:lang w:val="en-US"/>
        </w:rPr>
        <w:t xml:space="preserve"> </w:t>
      </w:r>
      <w:r w:rsidR="007A4524">
        <w:rPr>
          <w:lang w:val="en-US"/>
        </w:rPr>
        <w:t>used in the forecast model</w:t>
      </w:r>
      <w:r>
        <w:rPr>
          <w:lang w:val="en-US"/>
        </w:rPr>
        <w:t xml:space="preserve"> which </w:t>
      </w:r>
      <w:r w:rsidR="007A4524">
        <w:rPr>
          <w:lang w:val="en-US"/>
        </w:rPr>
        <w:t>correspond to space use codes and industries in CLUE.</w:t>
      </w:r>
    </w:p>
    <w:p w14:paraId="4BD28BE9" w14:textId="5529BF3A" w:rsidR="007A4524" w:rsidRDefault="007A4524" w:rsidP="008C23CF">
      <w:pPr>
        <w:rPr>
          <w:lang w:val="en-US"/>
        </w:rPr>
      </w:pPr>
      <w:r>
        <w:rPr>
          <w:lang w:val="en-US"/>
        </w:rPr>
        <w:t>More information about CLUE industries and CLUE space use codes can be found</w:t>
      </w:r>
      <w:r w:rsidR="00551CD9">
        <w:rPr>
          <w:lang w:val="en-US"/>
        </w:rPr>
        <w:t xml:space="preserve"> in</w:t>
      </w:r>
      <w:r>
        <w:rPr>
          <w:lang w:val="en-US"/>
        </w:rPr>
        <w:t xml:space="preserve"> the </w:t>
      </w:r>
      <w:hyperlink r:id="rId17" w:history="1">
        <w:r>
          <w:rPr>
            <w:rStyle w:val="Hyperlink"/>
            <w:lang w:val="en-US"/>
          </w:rPr>
          <w:t>CL</w:t>
        </w:r>
        <w:r>
          <w:rPr>
            <w:rStyle w:val="Hyperlink"/>
            <w:lang w:val="en-US"/>
          </w:rPr>
          <w:t>U</w:t>
        </w:r>
        <w:r>
          <w:rPr>
            <w:rStyle w:val="Hyperlink"/>
            <w:lang w:val="en-US"/>
          </w:rPr>
          <w:t>E Definition</w:t>
        </w:r>
        <w:r w:rsidR="001D104E">
          <w:rPr>
            <w:rStyle w:val="Hyperlink"/>
            <w:lang w:val="en-US"/>
          </w:rPr>
          <w:t>s (PDF)</w:t>
        </w:r>
      </w:hyperlink>
      <w:r w:rsidR="0075075B">
        <w:rPr>
          <w:rStyle w:val="FootnoteReference"/>
          <w:color w:val="0000FF"/>
          <w:u w:val="single"/>
          <w:lang w:val="en-US"/>
        </w:rPr>
        <w:footnoteReference w:id="6"/>
      </w:r>
      <w:r>
        <w:rPr>
          <w:lang w:val="en-US"/>
        </w:rPr>
        <w:t xml:space="preserve"> on the</w:t>
      </w:r>
      <w:r w:rsidR="008D084B">
        <w:rPr>
          <w:lang w:val="en-US"/>
        </w:rPr>
        <w:t xml:space="preserve"> City of Melbourne’s Open Data P</w:t>
      </w:r>
      <w:r>
        <w:rPr>
          <w:lang w:val="en-US"/>
        </w:rPr>
        <w:t>latform.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8"/>
        <w:gridCol w:w="4888"/>
      </w:tblGrid>
      <w:tr w:rsidR="007A4524" w:rsidRPr="007A4524" w14:paraId="081F6E19" w14:textId="77777777" w:rsidTr="00551CD9">
        <w:trPr>
          <w:trHeight w:val="340"/>
        </w:trPr>
        <w:tc>
          <w:tcPr>
            <w:tcW w:w="4888" w:type="dxa"/>
            <w:shd w:val="clear" w:color="auto" w:fill="auto"/>
            <w:noWrap/>
            <w:vAlign w:val="center"/>
            <w:hideMark/>
          </w:tcPr>
          <w:p w14:paraId="4A76C4A1" w14:textId="77777777" w:rsidR="007A4524" w:rsidRPr="007A4524" w:rsidRDefault="007A4524" w:rsidP="007A4524">
            <w:pPr>
              <w:spacing w:after="0" w:line="240" w:lineRule="auto"/>
              <w:rPr>
                <w:rFonts w:eastAsia="Times New Roman" w:cs="Arial"/>
                <w:b/>
                <w:bCs/>
                <w:color w:val="000000"/>
                <w:szCs w:val="20"/>
                <w:lang w:eastAsia="en-AU"/>
              </w:rPr>
            </w:pPr>
            <w:r>
              <w:rPr>
                <w:rFonts w:eastAsia="Times New Roman" w:cs="Arial"/>
                <w:b/>
                <w:bCs/>
                <w:color w:val="000000"/>
                <w:szCs w:val="20"/>
                <w:lang w:eastAsia="en-AU"/>
              </w:rPr>
              <w:t>CLUE s</w:t>
            </w:r>
            <w:r w:rsidRPr="007A4524">
              <w:rPr>
                <w:rFonts w:eastAsia="Times New Roman" w:cs="Arial"/>
                <w:b/>
                <w:bCs/>
                <w:color w:val="000000"/>
                <w:szCs w:val="20"/>
                <w:lang w:eastAsia="en-AU"/>
              </w:rPr>
              <w:t>pace use</w:t>
            </w:r>
            <w:r>
              <w:rPr>
                <w:rFonts w:eastAsia="Times New Roman" w:cs="Arial"/>
                <w:b/>
                <w:bCs/>
                <w:color w:val="000000"/>
                <w:szCs w:val="20"/>
                <w:lang w:eastAsia="en-AU"/>
              </w:rPr>
              <w:t xml:space="preserve"> codes</w:t>
            </w:r>
          </w:p>
        </w:tc>
        <w:tc>
          <w:tcPr>
            <w:tcW w:w="4888" w:type="dxa"/>
            <w:shd w:val="clear" w:color="auto" w:fill="auto"/>
            <w:vAlign w:val="center"/>
          </w:tcPr>
          <w:p w14:paraId="539EB0F0" w14:textId="77777777" w:rsidR="007A4524" w:rsidRPr="007A4524" w:rsidRDefault="007A4524" w:rsidP="007A4524">
            <w:pPr>
              <w:spacing w:after="0" w:line="240" w:lineRule="auto"/>
              <w:rPr>
                <w:rFonts w:eastAsia="Times New Roman" w:cs="Arial"/>
                <w:b/>
                <w:bCs/>
                <w:color w:val="000000"/>
                <w:szCs w:val="20"/>
                <w:lang w:eastAsia="en-AU"/>
              </w:rPr>
            </w:pPr>
            <w:r w:rsidRPr="007A4524">
              <w:rPr>
                <w:rFonts w:eastAsia="Times New Roman" w:cs="Arial"/>
                <w:b/>
                <w:bCs/>
                <w:color w:val="000000"/>
                <w:szCs w:val="20"/>
                <w:lang w:eastAsia="en-AU"/>
              </w:rPr>
              <w:t>Forecasts model space use</w:t>
            </w:r>
          </w:p>
        </w:tc>
      </w:tr>
      <w:tr w:rsidR="007A4524" w:rsidRPr="007A4524" w14:paraId="1BB07037" w14:textId="77777777" w:rsidTr="00551CD9">
        <w:trPr>
          <w:trHeight w:val="340"/>
        </w:trPr>
        <w:tc>
          <w:tcPr>
            <w:tcW w:w="4888" w:type="dxa"/>
            <w:shd w:val="clear" w:color="auto" w:fill="auto"/>
            <w:noWrap/>
            <w:vAlign w:val="center"/>
            <w:hideMark/>
          </w:tcPr>
          <w:p w14:paraId="062DD897"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Commercial Accommodation</w:t>
            </w:r>
          </w:p>
        </w:tc>
        <w:tc>
          <w:tcPr>
            <w:tcW w:w="4888" w:type="dxa"/>
            <w:shd w:val="clear" w:color="auto" w:fill="auto"/>
            <w:vAlign w:val="center"/>
          </w:tcPr>
          <w:p w14:paraId="4D99AFF2"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Accommodation - Commercial</w:t>
            </w:r>
          </w:p>
        </w:tc>
      </w:tr>
      <w:tr w:rsidR="007A4524" w:rsidRPr="007A4524" w14:paraId="1A375B4A" w14:textId="77777777" w:rsidTr="00551CD9">
        <w:trPr>
          <w:trHeight w:val="340"/>
        </w:trPr>
        <w:tc>
          <w:tcPr>
            <w:tcW w:w="4888" w:type="dxa"/>
            <w:shd w:val="clear" w:color="auto" w:fill="auto"/>
            <w:noWrap/>
            <w:vAlign w:val="center"/>
            <w:hideMark/>
          </w:tcPr>
          <w:p w14:paraId="40BAE028"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Common Area</w:t>
            </w:r>
          </w:p>
        </w:tc>
        <w:tc>
          <w:tcPr>
            <w:tcW w:w="4888" w:type="dxa"/>
            <w:shd w:val="clear" w:color="auto" w:fill="auto"/>
            <w:vAlign w:val="center"/>
          </w:tcPr>
          <w:p w14:paraId="162D764C"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 xml:space="preserve">Other - </w:t>
            </w:r>
            <w:proofErr w:type="gramStart"/>
            <w:r w:rsidRPr="007A4524">
              <w:rPr>
                <w:rFonts w:eastAsia="Times New Roman" w:cs="Arial"/>
                <w:color w:val="000000"/>
                <w:szCs w:val="20"/>
                <w:lang w:eastAsia="en-AU"/>
              </w:rPr>
              <w:t>Non Employment</w:t>
            </w:r>
            <w:proofErr w:type="gramEnd"/>
          </w:p>
        </w:tc>
      </w:tr>
      <w:tr w:rsidR="007A4524" w:rsidRPr="007A4524" w14:paraId="355156DF" w14:textId="77777777" w:rsidTr="00551CD9">
        <w:trPr>
          <w:trHeight w:val="340"/>
        </w:trPr>
        <w:tc>
          <w:tcPr>
            <w:tcW w:w="4888" w:type="dxa"/>
            <w:shd w:val="clear" w:color="auto" w:fill="auto"/>
            <w:noWrap/>
            <w:vAlign w:val="center"/>
            <w:hideMark/>
          </w:tcPr>
          <w:p w14:paraId="7B52C8F7"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Community Use</w:t>
            </w:r>
          </w:p>
        </w:tc>
        <w:tc>
          <w:tcPr>
            <w:tcW w:w="4888" w:type="dxa"/>
            <w:shd w:val="clear" w:color="auto" w:fill="auto"/>
            <w:vAlign w:val="center"/>
          </w:tcPr>
          <w:p w14:paraId="622DACC2"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Other - Employment</w:t>
            </w:r>
          </w:p>
        </w:tc>
      </w:tr>
      <w:tr w:rsidR="007A4524" w:rsidRPr="007A4524" w14:paraId="01C62892" w14:textId="77777777" w:rsidTr="00551CD9">
        <w:trPr>
          <w:trHeight w:val="340"/>
        </w:trPr>
        <w:tc>
          <w:tcPr>
            <w:tcW w:w="4888" w:type="dxa"/>
            <w:shd w:val="clear" w:color="auto" w:fill="auto"/>
            <w:noWrap/>
            <w:vAlign w:val="center"/>
            <w:hideMark/>
          </w:tcPr>
          <w:p w14:paraId="0B556224"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Educational/Research</w:t>
            </w:r>
          </w:p>
        </w:tc>
        <w:tc>
          <w:tcPr>
            <w:tcW w:w="4888" w:type="dxa"/>
            <w:shd w:val="clear" w:color="auto" w:fill="auto"/>
            <w:vAlign w:val="center"/>
          </w:tcPr>
          <w:p w14:paraId="3C1C2DC7"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Education</w:t>
            </w:r>
          </w:p>
        </w:tc>
      </w:tr>
      <w:tr w:rsidR="007A4524" w:rsidRPr="007A4524" w14:paraId="33B2D0C6" w14:textId="77777777" w:rsidTr="00551CD9">
        <w:trPr>
          <w:trHeight w:val="340"/>
        </w:trPr>
        <w:tc>
          <w:tcPr>
            <w:tcW w:w="4888" w:type="dxa"/>
            <w:shd w:val="clear" w:color="auto" w:fill="auto"/>
            <w:noWrap/>
            <w:vAlign w:val="center"/>
            <w:hideMark/>
          </w:tcPr>
          <w:p w14:paraId="748796AD"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Entertainment/Recreation - Indoor</w:t>
            </w:r>
          </w:p>
        </w:tc>
        <w:tc>
          <w:tcPr>
            <w:tcW w:w="4888" w:type="dxa"/>
            <w:shd w:val="clear" w:color="auto" w:fill="auto"/>
            <w:vAlign w:val="center"/>
          </w:tcPr>
          <w:p w14:paraId="4A7D1E12" w14:textId="77777777" w:rsidR="007A4524" w:rsidRPr="007A4524" w:rsidRDefault="00551CD9" w:rsidP="00E57B1C">
            <w:pPr>
              <w:spacing w:after="0" w:line="240" w:lineRule="auto"/>
              <w:rPr>
                <w:rFonts w:eastAsia="Times New Roman" w:cs="Arial"/>
                <w:color w:val="000000"/>
                <w:szCs w:val="20"/>
                <w:lang w:eastAsia="en-AU"/>
              </w:rPr>
            </w:pPr>
            <w:r w:rsidRPr="00551CD9">
              <w:rPr>
                <w:rFonts w:eastAsia="Times New Roman" w:cs="Arial"/>
                <w:color w:val="000000"/>
                <w:szCs w:val="20"/>
                <w:lang w:eastAsia="en-AU"/>
              </w:rPr>
              <w:t xml:space="preserve">Entertainment </w:t>
            </w:r>
            <w:r>
              <w:rPr>
                <w:rFonts w:eastAsia="Times New Roman" w:cs="Arial"/>
                <w:color w:val="000000"/>
                <w:szCs w:val="20"/>
                <w:lang w:eastAsia="en-AU"/>
              </w:rPr>
              <w:t>–</w:t>
            </w:r>
            <w:r w:rsidRPr="00551CD9">
              <w:rPr>
                <w:rFonts w:eastAsia="Times New Roman" w:cs="Arial"/>
                <w:color w:val="000000"/>
                <w:szCs w:val="20"/>
                <w:lang w:eastAsia="en-AU"/>
              </w:rPr>
              <w:t xml:space="preserve"> Hospitality</w:t>
            </w:r>
            <w:r>
              <w:rPr>
                <w:rFonts w:eastAsia="Times New Roman" w:cs="Arial"/>
                <w:color w:val="000000"/>
                <w:szCs w:val="20"/>
                <w:lang w:eastAsia="en-AU"/>
              </w:rPr>
              <w:t xml:space="preserve"> / </w:t>
            </w:r>
            <w:r w:rsidRPr="00551CD9">
              <w:rPr>
                <w:rFonts w:eastAsia="Times New Roman" w:cs="Arial"/>
                <w:color w:val="000000"/>
                <w:szCs w:val="20"/>
                <w:lang w:eastAsia="en-AU"/>
              </w:rPr>
              <w:t xml:space="preserve">Entertainment </w:t>
            </w:r>
            <w:r w:rsidR="00E57B1C">
              <w:rPr>
                <w:rFonts w:eastAsia="Times New Roman" w:cs="Arial"/>
                <w:color w:val="000000"/>
                <w:szCs w:val="20"/>
                <w:lang w:eastAsia="en-AU"/>
              </w:rPr>
              <w:t>–</w:t>
            </w:r>
            <w:r w:rsidRPr="00551CD9">
              <w:rPr>
                <w:rFonts w:eastAsia="Times New Roman" w:cs="Arial"/>
                <w:color w:val="000000"/>
                <w:szCs w:val="20"/>
                <w:lang w:eastAsia="en-AU"/>
              </w:rPr>
              <w:t xml:space="preserve"> Other</w:t>
            </w:r>
            <w:r w:rsidR="00E57B1C">
              <w:rPr>
                <w:rFonts w:eastAsia="Times New Roman" w:cs="Arial"/>
                <w:color w:val="000000"/>
                <w:szCs w:val="20"/>
                <w:lang w:eastAsia="en-AU"/>
              </w:rPr>
              <w:t>*</w:t>
            </w:r>
          </w:p>
        </w:tc>
      </w:tr>
      <w:tr w:rsidR="007A4524" w:rsidRPr="007A4524" w14:paraId="00254FE6" w14:textId="77777777" w:rsidTr="00551CD9">
        <w:trPr>
          <w:trHeight w:val="340"/>
        </w:trPr>
        <w:tc>
          <w:tcPr>
            <w:tcW w:w="4888" w:type="dxa"/>
            <w:shd w:val="clear" w:color="auto" w:fill="auto"/>
            <w:noWrap/>
            <w:vAlign w:val="center"/>
            <w:hideMark/>
          </w:tcPr>
          <w:p w14:paraId="6AB583D8"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Equipment Installation</w:t>
            </w:r>
          </w:p>
        </w:tc>
        <w:tc>
          <w:tcPr>
            <w:tcW w:w="4888" w:type="dxa"/>
            <w:shd w:val="clear" w:color="auto" w:fill="auto"/>
            <w:vAlign w:val="center"/>
          </w:tcPr>
          <w:p w14:paraId="2FCEDDDC"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Other - Employment</w:t>
            </w:r>
          </w:p>
        </w:tc>
      </w:tr>
      <w:tr w:rsidR="007A4524" w:rsidRPr="007A4524" w14:paraId="33B28703" w14:textId="77777777" w:rsidTr="00551CD9">
        <w:trPr>
          <w:trHeight w:val="340"/>
        </w:trPr>
        <w:tc>
          <w:tcPr>
            <w:tcW w:w="4888" w:type="dxa"/>
            <w:shd w:val="clear" w:color="auto" w:fill="auto"/>
            <w:noWrap/>
            <w:vAlign w:val="center"/>
            <w:hideMark/>
          </w:tcPr>
          <w:p w14:paraId="603D5BC6"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Hospital/Clinic</w:t>
            </w:r>
          </w:p>
        </w:tc>
        <w:tc>
          <w:tcPr>
            <w:tcW w:w="4888" w:type="dxa"/>
            <w:shd w:val="clear" w:color="auto" w:fill="auto"/>
            <w:vAlign w:val="center"/>
          </w:tcPr>
          <w:p w14:paraId="680D1396"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Health</w:t>
            </w:r>
          </w:p>
        </w:tc>
      </w:tr>
      <w:tr w:rsidR="007A4524" w:rsidRPr="007A4524" w14:paraId="6396151A" w14:textId="77777777" w:rsidTr="00551CD9">
        <w:trPr>
          <w:trHeight w:val="340"/>
        </w:trPr>
        <w:tc>
          <w:tcPr>
            <w:tcW w:w="4888" w:type="dxa"/>
            <w:shd w:val="clear" w:color="auto" w:fill="auto"/>
            <w:noWrap/>
            <w:vAlign w:val="center"/>
            <w:hideMark/>
          </w:tcPr>
          <w:p w14:paraId="69842025"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House/Townhouse</w:t>
            </w:r>
          </w:p>
        </w:tc>
        <w:tc>
          <w:tcPr>
            <w:tcW w:w="4888" w:type="dxa"/>
            <w:shd w:val="clear" w:color="auto" w:fill="auto"/>
            <w:vAlign w:val="center"/>
          </w:tcPr>
          <w:p w14:paraId="68C36437"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Residential</w:t>
            </w:r>
          </w:p>
        </w:tc>
      </w:tr>
      <w:tr w:rsidR="007A4524" w:rsidRPr="007A4524" w14:paraId="04F36276" w14:textId="77777777" w:rsidTr="00551CD9">
        <w:trPr>
          <w:trHeight w:val="340"/>
        </w:trPr>
        <w:tc>
          <w:tcPr>
            <w:tcW w:w="4888" w:type="dxa"/>
            <w:shd w:val="clear" w:color="auto" w:fill="auto"/>
            <w:noWrap/>
            <w:vAlign w:val="center"/>
            <w:hideMark/>
          </w:tcPr>
          <w:p w14:paraId="3410AF68"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Institutional Accommodation</w:t>
            </w:r>
          </w:p>
        </w:tc>
        <w:tc>
          <w:tcPr>
            <w:tcW w:w="4888" w:type="dxa"/>
            <w:shd w:val="clear" w:color="auto" w:fill="auto"/>
            <w:vAlign w:val="center"/>
          </w:tcPr>
          <w:p w14:paraId="39555D97"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Residential</w:t>
            </w:r>
          </w:p>
        </w:tc>
      </w:tr>
      <w:tr w:rsidR="007A4524" w:rsidRPr="007A4524" w14:paraId="1F4B4197" w14:textId="77777777" w:rsidTr="00551CD9">
        <w:trPr>
          <w:trHeight w:val="340"/>
        </w:trPr>
        <w:tc>
          <w:tcPr>
            <w:tcW w:w="4888" w:type="dxa"/>
            <w:shd w:val="clear" w:color="auto" w:fill="auto"/>
            <w:noWrap/>
            <w:vAlign w:val="center"/>
            <w:hideMark/>
          </w:tcPr>
          <w:p w14:paraId="7CC7A5EA"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Manufacturing</w:t>
            </w:r>
          </w:p>
        </w:tc>
        <w:tc>
          <w:tcPr>
            <w:tcW w:w="4888" w:type="dxa"/>
            <w:shd w:val="clear" w:color="auto" w:fill="auto"/>
            <w:vAlign w:val="center"/>
          </w:tcPr>
          <w:p w14:paraId="288C1F19"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Industrial</w:t>
            </w:r>
          </w:p>
        </w:tc>
      </w:tr>
      <w:tr w:rsidR="007A4524" w:rsidRPr="007A4524" w14:paraId="3AAF99F9" w14:textId="77777777" w:rsidTr="00551CD9">
        <w:trPr>
          <w:trHeight w:val="340"/>
        </w:trPr>
        <w:tc>
          <w:tcPr>
            <w:tcW w:w="4888" w:type="dxa"/>
            <w:shd w:val="clear" w:color="auto" w:fill="auto"/>
            <w:noWrap/>
            <w:vAlign w:val="center"/>
            <w:hideMark/>
          </w:tcPr>
          <w:p w14:paraId="63C2F0C6"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Office</w:t>
            </w:r>
          </w:p>
        </w:tc>
        <w:tc>
          <w:tcPr>
            <w:tcW w:w="4888" w:type="dxa"/>
            <w:shd w:val="clear" w:color="auto" w:fill="auto"/>
            <w:vAlign w:val="center"/>
          </w:tcPr>
          <w:p w14:paraId="3CF2E2E3"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Office</w:t>
            </w:r>
          </w:p>
        </w:tc>
      </w:tr>
      <w:tr w:rsidR="007A4524" w:rsidRPr="007A4524" w14:paraId="7D87E285" w14:textId="77777777" w:rsidTr="00551CD9">
        <w:trPr>
          <w:trHeight w:val="340"/>
        </w:trPr>
        <w:tc>
          <w:tcPr>
            <w:tcW w:w="4888" w:type="dxa"/>
            <w:shd w:val="clear" w:color="auto" w:fill="auto"/>
            <w:noWrap/>
            <w:vAlign w:val="center"/>
            <w:hideMark/>
          </w:tcPr>
          <w:p w14:paraId="59BB86E7"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Park/Reserve</w:t>
            </w:r>
          </w:p>
        </w:tc>
        <w:tc>
          <w:tcPr>
            <w:tcW w:w="4888" w:type="dxa"/>
            <w:shd w:val="clear" w:color="auto" w:fill="auto"/>
            <w:vAlign w:val="center"/>
          </w:tcPr>
          <w:p w14:paraId="67054B63"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 xml:space="preserve">Other - </w:t>
            </w:r>
            <w:proofErr w:type="gramStart"/>
            <w:r w:rsidRPr="007A4524">
              <w:rPr>
                <w:rFonts w:eastAsia="Times New Roman" w:cs="Arial"/>
                <w:color w:val="000000"/>
                <w:szCs w:val="20"/>
                <w:lang w:eastAsia="en-AU"/>
              </w:rPr>
              <w:t>Non Employment</w:t>
            </w:r>
            <w:proofErr w:type="gramEnd"/>
          </w:p>
        </w:tc>
      </w:tr>
      <w:tr w:rsidR="007A4524" w:rsidRPr="007A4524" w14:paraId="24094758" w14:textId="77777777" w:rsidTr="00551CD9">
        <w:trPr>
          <w:trHeight w:val="340"/>
        </w:trPr>
        <w:tc>
          <w:tcPr>
            <w:tcW w:w="4888" w:type="dxa"/>
            <w:shd w:val="clear" w:color="auto" w:fill="auto"/>
            <w:noWrap/>
            <w:vAlign w:val="center"/>
            <w:hideMark/>
          </w:tcPr>
          <w:p w14:paraId="4EF6B9A3"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Parking - Commercial Covered</w:t>
            </w:r>
          </w:p>
        </w:tc>
        <w:tc>
          <w:tcPr>
            <w:tcW w:w="4888" w:type="dxa"/>
            <w:shd w:val="clear" w:color="auto" w:fill="auto"/>
            <w:vAlign w:val="center"/>
          </w:tcPr>
          <w:p w14:paraId="3D31448F"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Other - Employment</w:t>
            </w:r>
          </w:p>
        </w:tc>
      </w:tr>
      <w:tr w:rsidR="007A4524" w:rsidRPr="007A4524" w14:paraId="5D22FFF2" w14:textId="77777777" w:rsidTr="00551CD9">
        <w:trPr>
          <w:trHeight w:val="340"/>
        </w:trPr>
        <w:tc>
          <w:tcPr>
            <w:tcW w:w="4888" w:type="dxa"/>
            <w:shd w:val="clear" w:color="auto" w:fill="auto"/>
            <w:noWrap/>
            <w:vAlign w:val="center"/>
            <w:hideMark/>
          </w:tcPr>
          <w:p w14:paraId="7D741D8D"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Parking - Commercial Uncovered</w:t>
            </w:r>
          </w:p>
        </w:tc>
        <w:tc>
          <w:tcPr>
            <w:tcW w:w="4888" w:type="dxa"/>
            <w:shd w:val="clear" w:color="auto" w:fill="auto"/>
            <w:vAlign w:val="center"/>
          </w:tcPr>
          <w:p w14:paraId="1DBD1D44"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Other - Employment</w:t>
            </w:r>
          </w:p>
        </w:tc>
      </w:tr>
      <w:tr w:rsidR="007A4524" w:rsidRPr="007A4524" w14:paraId="29892BDD" w14:textId="77777777" w:rsidTr="00551CD9">
        <w:trPr>
          <w:trHeight w:val="340"/>
        </w:trPr>
        <w:tc>
          <w:tcPr>
            <w:tcW w:w="4888" w:type="dxa"/>
            <w:shd w:val="clear" w:color="auto" w:fill="auto"/>
            <w:noWrap/>
            <w:vAlign w:val="center"/>
            <w:hideMark/>
          </w:tcPr>
          <w:p w14:paraId="466CD6CD"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Parking - Private Covered</w:t>
            </w:r>
          </w:p>
        </w:tc>
        <w:tc>
          <w:tcPr>
            <w:tcW w:w="4888" w:type="dxa"/>
            <w:shd w:val="clear" w:color="auto" w:fill="auto"/>
            <w:vAlign w:val="center"/>
          </w:tcPr>
          <w:p w14:paraId="394C5C05"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Other - Employment</w:t>
            </w:r>
          </w:p>
        </w:tc>
      </w:tr>
      <w:tr w:rsidR="007A4524" w:rsidRPr="007A4524" w14:paraId="2E0A22AE" w14:textId="77777777" w:rsidTr="00551CD9">
        <w:trPr>
          <w:trHeight w:val="340"/>
        </w:trPr>
        <w:tc>
          <w:tcPr>
            <w:tcW w:w="4888" w:type="dxa"/>
            <w:shd w:val="clear" w:color="auto" w:fill="auto"/>
            <w:noWrap/>
            <w:vAlign w:val="center"/>
            <w:hideMark/>
          </w:tcPr>
          <w:p w14:paraId="4A0CD6B6"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Parking - Private Uncovered</w:t>
            </w:r>
          </w:p>
        </w:tc>
        <w:tc>
          <w:tcPr>
            <w:tcW w:w="4888" w:type="dxa"/>
            <w:shd w:val="clear" w:color="auto" w:fill="auto"/>
            <w:vAlign w:val="center"/>
          </w:tcPr>
          <w:p w14:paraId="585B4EEA" w14:textId="77777777" w:rsidR="007A4524" w:rsidRPr="007A4524" w:rsidRDefault="007A4524" w:rsidP="007A4524">
            <w:pPr>
              <w:spacing w:after="0" w:line="240" w:lineRule="auto"/>
              <w:rPr>
                <w:rFonts w:eastAsia="Times New Roman" w:cs="Arial"/>
                <w:color w:val="000000"/>
                <w:szCs w:val="20"/>
                <w:lang w:eastAsia="en-AU"/>
              </w:rPr>
            </w:pPr>
            <w:r w:rsidRPr="007A4524">
              <w:rPr>
                <w:rFonts w:eastAsia="Times New Roman" w:cs="Arial"/>
                <w:color w:val="000000"/>
                <w:szCs w:val="20"/>
                <w:lang w:eastAsia="en-AU"/>
              </w:rPr>
              <w:t xml:space="preserve">Other - </w:t>
            </w:r>
            <w:proofErr w:type="gramStart"/>
            <w:r w:rsidRPr="007A4524">
              <w:rPr>
                <w:rFonts w:eastAsia="Times New Roman" w:cs="Arial"/>
                <w:color w:val="000000"/>
                <w:szCs w:val="20"/>
                <w:lang w:eastAsia="en-AU"/>
              </w:rPr>
              <w:t>Non Employment</w:t>
            </w:r>
            <w:proofErr w:type="gramEnd"/>
          </w:p>
        </w:tc>
      </w:tr>
      <w:tr w:rsidR="00551CD9" w:rsidRPr="007A4524" w14:paraId="746F7279" w14:textId="77777777" w:rsidTr="00551CD9">
        <w:trPr>
          <w:trHeight w:val="340"/>
        </w:trPr>
        <w:tc>
          <w:tcPr>
            <w:tcW w:w="4888" w:type="dxa"/>
            <w:shd w:val="clear" w:color="auto" w:fill="auto"/>
            <w:noWrap/>
            <w:vAlign w:val="center"/>
            <w:hideMark/>
          </w:tcPr>
          <w:p w14:paraId="1D9732EB"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Performances, Conferences, Ceremonies</w:t>
            </w:r>
          </w:p>
        </w:tc>
        <w:tc>
          <w:tcPr>
            <w:tcW w:w="4888" w:type="dxa"/>
            <w:shd w:val="clear" w:color="auto" w:fill="auto"/>
            <w:vAlign w:val="center"/>
          </w:tcPr>
          <w:p w14:paraId="45D3A0C0" w14:textId="77777777" w:rsidR="00551CD9" w:rsidRPr="007A4524" w:rsidRDefault="00551CD9" w:rsidP="00E57B1C">
            <w:pPr>
              <w:spacing w:after="0" w:line="240" w:lineRule="auto"/>
              <w:rPr>
                <w:rFonts w:eastAsia="Times New Roman" w:cs="Arial"/>
                <w:color w:val="000000"/>
                <w:szCs w:val="20"/>
                <w:lang w:eastAsia="en-AU"/>
              </w:rPr>
            </w:pPr>
            <w:r w:rsidRPr="00551CD9">
              <w:rPr>
                <w:rFonts w:eastAsia="Times New Roman" w:cs="Arial"/>
                <w:color w:val="000000"/>
                <w:szCs w:val="20"/>
                <w:lang w:eastAsia="en-AU"/>
              </w:rPr>
              <w:t xml:space="preserve">Entertainment </w:t>
            </w:r>
            <w:r>
              <w:rPr>
                <w:rFonts w:eastAsia="Times New Roman" w:cs="Arial"/>
                <w:color w:val="000000"/>
                <w:szCs w:val="20"/>
                <w:lang w:eastAsia="en-AU"/>
              </w:rPr>
              <w:t>–</w:t>
            </w:r>
            <w:r w:rsidRPr="00551CD9">
              <w:rPr>
                <w:rFonts w:eastAsia="Times New Roman" w:cs="Arial"/>
                <w:color w:val="000000"/>
                <w:szCs w:val="20"/>
                <w:lang w:eastAsia="en-AU"/>
              </w:rPr>
              <w:t xml:space="preserve"> Hospitality</w:t>
            </w:r>
            <w:r>
              <w:rPr>
                <w:rFonts w:eastAsia="Times New Roman" w:cs="Arial"/>
                <w:color w:val="000000"/>
                <w:szCs w:val="20"/>
                <w:lang w:eastAsia="en-AU"/>
              </w:rPr>
              <w:t xml:space="preserve"> / </w:t>
            </w:r>
            <w:r w:rsidRPr="00551CD9">
              <w:rPr>
                <w:rFonts w:eastAsia="Times New Roman" w:cs="Arial"/>
                <w:color w:val="000000"/>
                <w:szCs w:val="20"/>
                <w:lang w:eastAsia="en-AU"/>
              </w:rPr>
              <w:t xml:space="preserve">Entertainment </w:t>
            </w:r>
            <w:r w:rsidR="00E57B1C">
              <w:rPr>
                <w:rFonts w:eastAsia="Times New Roman" w:cs="Arial"/>
                <w:color w:val="000000"/>
                <w:szCs w:val="20"/>
                <w:lang w:eastAsia="en-AU"/>
              </w:rPr>
              <w:t>–</w:t>
            </w:r>
            <w:r w:rsidRPr="00551CD9">
              <w:rPr>
                <w:rFonts w:eastAsia="Times New Roman" w:cs="Arial"/>
                <w:color w:val="000000"/>
                <w:szCs w:val="20"/>
                <w:lang w:eastAsia="en-AU"/>
              </w:rPr>
              <w:t xml:space="preserve"> Other</w:t>
            </w:r>
            <w:r w:rsidR="00E57B1C">
              <w:rPr>
                <w:rFonts w:eastAsia="Times New Roman" w:cs="Arial"/>
                <w:color w:val="000000"/>
                <w:szCs w:val="20"/>
                <w:lang w:eastAsia="en-AU"/>
              </w:rPr>
              <w:t>*</w:t>
            </w:r>
          </w:p>
        </w:tc>
      </w:tr>
      <w:tr w:rsidR="00551CD9" w:rsidRPr="007A4524" w14:paraId="2879F4D9" w14:textId="77777777" w:rsidTr="00551CD9">
        <w:trPr>
          <w:trHeight w:val="340"/>
        </w:trPr>
        <w:tc>
          <w:tcPr>
            <w:tcW w:w="4888" w:type="dxa"/>
            <w:shd w:val="clear" w:color="auto" w:fill="auto"/>
            <w:noWrap/>
            <w:vAlign w:val="center"/>
            <w:hideMark/>
          </w:tcPr>
          <w:p w14:paraId="435E4733"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Private Outdoor Space</w:t>
            </w:r>
          </w:p>
        </w:tc>
        <w:tc>
          <w:tcPr>
            <w:tcW w:w="4888" w:type="dxa"/>
            <w:shd w:val="clear" w:color="auto" w:fill="auto"/>
            <w:vAlign w:val="center"/>
          </w:tcPr>
          <w:p w14:paraId="4677941B"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 xml:space="preserve">Other - </w:t>
            </w:r>
            <w:proofErr w:type="gramStart"/>
            <w:r w:rsidRPr="007A4524">
              <w:rPr>
                <w:rFonts w:eastAsia="Times New Roman" w:cs="Arial"/>
                <w:color w:val="000000"/>
                <w:szCs w:val="20"/>
                <w:lang w:eastAsia="en-AU"/>
              </w:rPr>
              <w:t>Non Employment</w:t>
            </w:r>
            <w:proofErr w:type="gramEnd"/>
          </w:p>
        </w:tc>
      </w:tr>
      <w:tr w:rsidR="00551CD9" w:rsidRPr="007A4524" w14:paraId="504C922E" w14:textId="77777777" w:rsidTr="00551CD9">
        <w:trPr>
          <w:trHeight w:val="340"/>
        </w:trPr>
        <w:tc>
          <w:tcPr>
            <w:tcW w:w="4888" w:type="dxa"/>
            <w:shd w:val="clear" w:color="auto" w:fill="auto"/>
            <w:noWrap/>
            <w:vAlign w:val="center"/>
            <w:hideMark/>
          </w:tcPr>
          <w:p w14:paraId="44965403"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Public Display Area</w:t>
            </w:r>
          </w:p>
        </w:tc>
        <w:tc>
          <w:tcPr>
            <w:tcW w:w="4888" w:type="dxa"/>
            <w:shd w:val="clear" w:color="auto" w:fill="auto"/>
            <w:vAlign w:val="center"/>
          </w:tcPr>
          <w:p w14:paraId="30A96C65"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Other - Employment</w:t>
            </w:r>
          </w:p>
        </w:tc>
      </w:tr>
      <w:tr w:rsidR="00551CD9" w:rsidRPr="007A4524" w14:paraId="7C634E44" w14:textId="77777777" w:rsidTr="00551CD9">
        <w:trPr>
          <w:trHeight w:val="340"/>
        </w:trPr>
        <w:tc>
          <w:tcPr>
            <w:tcW w:w="4888" w:type="dxa"/>
            <w:shd w:val="clear" w:color="auto" w:fill="auto"/>
            <w:noWrap/>
            <w:vAlign w:val="center"/>
            <w:hideMark/>
          </w:tcPr>
          <w:p w14:paraId="121DF07B"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Residential Apartment</w:t>
            </w:r>
          </w:p>
        </w:tc>
        <w:tc>
          <w:tcPr>
            <w:tcW w:w="4888" w:type="dxa"/>
            <w:shd w:val="clear" w:color="auto" w:fill="auto"/>
            <w:vAlign w:val="center"/>
          </w:tcPr>
          <w:p w14:paraId="16BFBA66"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Residential</w:t>
            </w:r>
          </w:p>
        </w:tc>
      </w:tr>
      <w:tr w:rsidR="00551CD9" w:rsidRPr="007A4524" w14:paraId="66DAD279" w14:textId="77777777" w:rsidTr="00551CD9">
        <w:trPr>
          <w:trHeight w:val="340"/>
        </w:trPr>
        <w:tc>
          <w:tcPr>
            <w:tcW w:w="4888" w:type="dxa"/>
            <w:shd w:val="clear" w:color="auto" w:fill="auto"/>
            <w:noWrap/>
            <w:vAlign w:val="center"/>
            <w:hideMark/>
          </w:tcPr>
          <w:p w14:paraId="0C48D19C"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Retail - Cars</w:t>
            </w:r>
          </w:p>
        </w:tc>
        <w:tc>
          <w:tcPr>
            <w:tcW w:w="4888" w:type="dxa"/>
            <w:shd w:val="clear" w:color="auto" w:fill="auto"/>
            <w:vAlign w:val="center"/>
          </w:tcPr>
          <w:p w14:paraId="624CFD92"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Retail</w:t>
            </w:r>
          </w:p>
        </w:tc>
      </w:tr>
      <w:tr w:rsidR="00551CD9" w:rsidRPr="007A4524" w14:paraId="4983E101" w14:textId="77777777" w:rsidTr="00551CD9">
        <w:trPr>
          <w:trHeight w:val="340"/>
        </w:trPr>
        <w:tc>
          <w:tcPr>
            <w:tcW w:w="4888" w:type="dxa"/>
            <w:shd w:val="clear" w:color="auto" w:fill="auto"/>
            <w:noWrap/>
            <w:vAlign w:val="center"/>
            <w:hideMark/>
          </w:tcPr>
          <w:p w14:paraId="30F1D954"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Retail - Shop</w:t>
            </w:r>
          </w:p>
        </w:tc>
        <w:tc>
          <w:tcPr>
            <w:tcW w:w="4888" w:type="dxa"/>
            <w:shd w:val="clear" w:color="auto" w:fill="auto"/>
            <w:vAlign w:val="center"/>
          </w:tcPr>
          <w:p w14:paraId="1A151669"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Retail</w:t>
            </w:r>
          </w:p>
        </w:tc>
      </w:tr>
      <w:tr w:rsidR="00551CD9" w:rsidRPr="007A4524" w14:paraId="4C8C40B2" w14:textId="77777777" w:rsidTr="00551CD9">
        <w:trPr>
          <w:trHeight w:val="340"/>
        </w:trPr>
        <w:tc>
          <w:tcPr>
            <w:tcW w:w="4888" w:type="dxa"/>
            <w:shd w:val="clear" w:color="auto" w:fill="auto"/>
            <w:noWrap/>
            <w:vAlign w:val="center"/>
            <w:hideMark/>
          </w:tcPr>
          <w:p w14:paraId="3ACD63EC"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Retail - Showroom</w:t>
            </w:r>
          </w:p>
        </w:tc>
        <w:tc>
          <w:tcPr>
            <w:tcW w:w="4888" w:type="dxa"/>
            <w:shd w:val="clear" w:color="auto" w:fill="auto"/>
            <w:vAlign w:val="center"/>
          </w:tcPr>
          <w:p w14:paraId="52483FC8"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Retail</w:t>
            </w:r>
          </w:p>
        </w:tc>
      </w:tr>
      <w:tr w:rsidR="00551CD9" w:rsidRPr="007A4524" w14:paraId="78062E20" w14:textId="77777777" w:rsidTr="00551CD9">
        <w:trPr>
          <w:trHeight w:val="340"/>
        </w:trPr>
        <w:tc>
          <w:tcPr>
            <w:tcW w:w="4888" w:type="dxa"/>
            <w:shd w:val="clear" w:color="auto" w:fill="auto"/>
            <w:noWrap/>
            <w:vAlign w:val="center"/>
            <w:hideMark/>
          </w:tcPr>
          <w:p w14:paraId="4064E3F3"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Retail - Stall</w:t>
            </w:r>
          </w:p>
        </w:tc>
        <w:tc>
          <w:tcPr>
            <w:tcW w:w="4888" w:type="dxa"/>
            <w:shd w:val="clear" w:color="auto" w:fill="auto"/>
            <w:vAlign w:val="center"/>
          </w:tcPr>
          <w:p w14:paraId="1E9C1028"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Retail</w:t>
            </w:r>
          </w:p>
        </w:tc>
      </w:tr>
      <w:tr w:rsidR="00551CD9" w:rsidRPr="007A4524" w14:paraId="5EBBC345" w14:textId="77777777" w:rsidTr="00551CD9">
        <w:trPr>
          <w:trHeight w:val="340"/>
        </w:trPr>
        <w:tc>
          <w:tcPr>
            <w:tcW w:w="4888" w:type="dxa"/>
            <w:shd w:val="clear" w:color="auto" w:fill="auto"/>
            <w:noWrap/>
            <w:vAlign w:val="center"/>
            <w:hideMark/>
          </w:tcPr>
          <w:p w14:paraId="681BAAF6"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Sports and Recreation - Outdoor</w:t>
            </w:r>
          </w:p>
        </w:tc>
        <w:tc>
          <w:tcPr>
            <w:tcW w:w="4888" w:type="dxa"/>
            <w:shd w:val="clear" w:color="auto" w:fill="auto"/>
            <w:vAlign w:val="center"/>
          </w:tcPr>
          <w:p w14:paraId="5A88E579" w14:textId="77777777" w:rsidR="00551CD9" w:rsidRPr="007A4524" w:rsidRDefault="00551CD9" w:rsidP="00E57B1C">
            <w:pPr>
              <w:spacing w:after="0" w:line="240" w:lineRule="auto"/>
              <w:rPr>
                <w:rFonts w:eastAsia="Times New Roman" w:cs="Arial"/>
                <w:color w:val="000000"/>
                <w:szCs w:val="20"/>
                <w:lang w:eastAsia="en-AU"/>
              </w:rPr>
            </w:pPr>
            <w:r w:rsidRPr="00551CD9">
              <w:rPr>
                <w:rFonts w:eastAsia="Times New Roman" w:cs="Arial"/>
                <w:color w:val="000000"/>
                <w:szCs w:val="20"/>
                <w:lang w:eastAsia="en-AU"/>
              </w:rPr>
              <w:t xml:space="preserve">Entertainment </w:t>
            </w:r>
            <w:r>
              <w:rPr>
                <w:rFonts w:eastAsia="Times New Roman" w:cs="Arial"/>
                <w:color w:val="000000"/>
                <w:szCs w:val="20"/>
                <w:lang w:eastAsia="en-AU"/>
              </w:rPr>
              <w:t>–</w:t>
            </w:r>
            <w:r w:rsidRPr="00551CD9">
              <w:rPr>
                <w:rFonts w:eastAsia="Times New Roman" w:cs="Arial"/>
                <w:color w:val="000000"/>
                <w:szCs w:val="20"/>
                <w:lang w:eastAsia="en-AU"/>
              </w:rPr>
              <w:t xml:space="preserve"> Hospitality</w:t>
            </w:r>
            <w:r>
              <w:rPr>
                <w:rFonts w:eastAsia="Times New Roman" w:cs="Arial"/>
                <w:color w:val="000000"/>
                <w:szCs w:val="20"/>
                <w:lang w:eastAsia="en-AU"/>
              </w:rPr>
              <w:t xml:space="preserve"> / </w:t>
            </w:r>
            <w:r w:rsidRPr="00551CD9">
              <w:rPr>
                <w:rFonts w:eastAsia="Times New Roman" w:cs="Arial"/>
                <w:color w:val="000000"/>
                <w:szCs w:val="20"/>
                <w:lang w:eastAsia="en-AU"/>
              </w:rPr>
              <w:t xml:space="preserve">Entertainment </w:t>
            </w:r>
            <w:r w:rsidR="00E57B1C">
              <w:rPr>
                <w:rFonts w:eastAsia="Times New Roman" w:cs="Arial"/>
                <w:color w:val="000000"/>
                <w:szCs w:val="20"/>
                <w:lang w:eastAsia="en-AU"/>
              </w:rPr>
              <w:t>–</w:t>
            </w:r>
            <w:r w:rsidRPr="00551CD9">
              <w:rPr>
                <w:rFonts w:eastAsia="Times New Roman" w:cs="Arial"/>
                <w:color w:val="000000"/>
                <w:szCs w:val="20"/>
                <w:lang w:eastAsia="en-AU"/>
              </w:rPr>
              <w:t xml:space="preserve"> Other</w:t>
            </w:r>
            <w:r w:rsidR="00E57B1C">
              <w:rPr>
                <w:rFonts w:eastAsia="Times New Roman" w:cs="Arial"/>
                <w:color w:val="000000"/>
                <w:szCs w:val="20"/>
                <w:lang w:eastAsia="en-AU"/>
              </w:rPr>
              <w:t>*</w:t>
            </w:r>
          </w:p>
        </w:tc>
      </w:tr>
      <w:tr w:rsidR="00551CD9" w:rsidRPr="007A4524" w14:paraId="0D3B0A88" w14:textId="77777777" w:rsidTr="00551CD9">
        <w:trPr>
          <w:trHeight w:val="340"/>
        </w:trPr>
        <w:tc>
          <w:tcPr>
            <w:tcW w:w="4888" w:type="dxa"/>
            <w:shd w:val="clear" w:color="auto" w:fill="auto"/>
            <w:noWrap/>
            <w:vAlign w:val="center"/>
            <w:hideMark/>
          </w:tcPr>
          <w:p w14:paraId="519CCDE9"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Square/Promenade</w:t>
            </w:r>
          </w:p>
        </w:tc>
        <w:tc>
          <w:tcPr>
            <w:tcW w:w="4888" w:type="dxa"/>
            <w:shd w:val="clear" w:color="auto" w:fill="auto"/>
            <w:vAlign w:val="center"/>
          </w:tcPr>
          <w:p w14:paraId="6E5ECA7F"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 xml:space="preserve">Other - </w:t>
            </w:r>
            <w:proofErr w:type="gramStart"/>
            <w:r w:rsidRPr="007A4524">
              <w:rPr>
                <w:rFonts w:eastAsia="Times New Roman" w:cs="Arial"/>
                <w:color w:val="000000"/>
                <w:szCs w:val="20"/>
                <w:lang w:eastAsia="en-AU"/>
              </w:rPr>
              <w:t>Non Employment</w:t>
            </w:r>
            <w:proofErr w:type="gramEnd"/>
          </w:p>
        </w:tc>
      </w:tr>
      <w:tr w:rsidR="00551CD9" w:rsidRPr="007A4524" w14:paraId="2E242723" w14:textId="77777777" w:rsidTr="00551CD9">
        <w:trPr>
          <w:trHeight w:val="340"/>
        </w:trPr>
        <w:tc>
          <w:tcPr>
            <w:tcW w:w="4888" w:type="dxa"/>
            <w:shd w:val="clear" w:color="auto" w:fill="auto"/>
            <w:noWrap/>
            <w:vAlign w:val="center"/>
            <w:hideMark/>
          </w:tcPr>
          <w:p w14:paraId="53EAFB8C"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Storage</w:t>
            </w:r>
          </w:p>
        </w:tc>
        <w:tc>
          <w:tcPr>
            <w:tcW w:w="4888" w:type="dxa"/>
            <w:shd w:val="clear" w:color="auto" w:fill="auto"/>
            <w:vAlign w:val="center"/>
          </w:tcPr>
          <w:p w14:paraId="60DE2EAE"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Industrial</w:t>
            </w:r>
          </w:p>
        </w:tc>
      </w:tr>
      <w:tr w:rsidR="00551CD9" w:rsidRPr="007A4524" w14:paraId="3909F46A" w14:textId="77777777" w:rsidTr="00551CD9">
        <w:trPr>
          <w:trHeight w:val="340"/>
        </w:trPr>
        <w:tc>
          <w:tcPr>
            <w:tcW w:w="4888" w:type="dxa"/>
            <w:shd w:val="clear" w:color="auto" w:fill="auto"/>
            <w:noWrap/>
            <w:vAlign w:val="center"/>
          </w:tcPr>
          <w:p w14:paraId="3D1DCB9A"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Student Accommodation</w:t>
            </w:r>
          </w:p>
        </w:tc>
        <w:tc>
          <w:tcPr>
            <w:tcW w:w="4888" w:type="dxa"/>
            <w:shd w:val="clear" w:color="auto" w:fill="auto"/>
            <w:vAlign w:val="center"/>
          </w:tcPr>
          <w:p w14:paraId="451D9B73"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Accommodation - Commercial</w:t>
            </w:r>
          </w:p>
        </w:tc>
      </w:tr>
      <w:tr w:rsidR="00551CD9" w:rsidRPr="007A4524" w14:paraId="66567727" w14:textId="77777777" w:rsidTr="00551CD9">
        <w:trPr>
          <w:trHeight w:val="340"/>
        </w:trPr>
        <w:tc>
          <w:tcPr>
            <w:tcW w:w="4888" w:type="dxa"/>
            <w:shd w:val="clear" w:color="auto" w:fill="auto"/>
            <w:noWrap/>
            <w:vAlign w:val="center"/>
          </w:tcPr>
          <w:p w14:paraId="159DC049"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Transport</w:t>
            </w:r>
          </w:p>
        </w:tc>
        <w:tc>
          <w:tcPr>
            <w:tcW w:w="4888" w:type="dxa"/>
            <w:shd w:val="clear" w:color="auto" w:fill="auto"/>
            <w:vAlign w:val="center"/>
          </w:tcPr>
          <w:p w14:paraId="65097E8E"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Other - Employment</w:t>
            </w:r>
          </w:p>
        </w:tc>
      </w:tr>
      <w:tr w:rsidR="00551CD9" w:rsidRPr="007A4524" w14:paraId="1724131E" w14:textId="77777777" w:rsidTr="00551CD9">
        <w:trPr>
          <w:trHeight w:val="340"/>
        </w:trPr>
        <w:tc>
          <w:tcPr>
            <w:tcW w:w="4888" w:type="dxa"/>
            <w:shd w:val="clear" w:color="auto" w:fill="auto"/>
            <w:noWrap/>
            <w:vAlign w:val="center"/>
          </w:tcPr>
          <w:p w14:paraId="3E12FEC9"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Transport/Storage - Uncovered</w:t>
            </w:r>
          </w:p>
        </w:tc>
        <w:tc>
          <w:tcPr>
            <w:tcW w:w="4888" w:type="dxa"/>
            <w:shd w:val="clear" w:color="auto" w:fill="auto"/>
            <w:vAlign w:val="center"/>
          </w:tcPr>
          <w:p w14:paraId="01B384DA"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Industrial</w:t>
            </w:r>
          </w:p>
        </w:tc>
      </w:tr>
    </w:tbl>
    <w:p w14:paraId="6A05A809" w14:textId="69673886" w:rsidR="00551CD9" w:rsidRDefault="00E57B1C" w:rsidP="0075075B">
      <w:pPr>
        <w:spacing w:before="120"/>
        <w:rPr>
          <w:sz w:val="16"/>
          <w:lang w:val="en-US"/>
        </w:rPr>
      </w:pPr>
      <w:r w:rsidRPr="00E57B1C">
        <w:rPr>
          <w:sz w:val="16"/>
          <w:lang w:val="en-US"/>
        </w:rPr>
        <w:t>*</w:t>
      </w:r>
      <w:r w:rsidR="00551CD9" w:rsidRPr="00E57B1C">
        <w:rPr>
          <w:sz w:val="16"/>
          <w:lang w:val="en-US"/>
        </w:rPr>
        <w:t xml:space="preserve"> Forecasts split into 'Entertainment - Hospitality' and 'Entertainment - Other' based on CLUE industry (</w:t>
      </w:r>
      <w:proofErr w:type="gramStart"/>
      <w:r w:rsidR="00551CD9" w:rsidRPr="00E57B1C">
        <w:rPr>
          <w:sz w:val="16"/>
          <w:lang w:val="en-US"/>
        </w:rPr>
        <w:t>e.g.</w:t>
      </w:r>
      <w:proofErr w:type="gramEnd"/>
      <w:r w:rsidR="00551CD9" w:rsidRPr="00E57B1C">
        <w:rPr>
          <w:sz w:val="16"/>
          <w:lang w:val="en-US"/>
        </w:rPr>
        <w:t xml:space="preserve"> 'Food and Beverage Services' and all other industries respectively)</w:t>
      </w:r>
      <w:r w:rsidR="00551CD9">
        <w:rPr>
          <w:sz w:val="16"/>
          <w:lang w:val="en-US"/>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8"/>
        <w:gridCol w:w="4888"/>
      </w:tblGrid>
      <w:tr w:rsidR="00551CD9" w:rsidRPr="007A4524" w14:paraId="43B770BC" w14:textId="77777777" w:rsidTr="00551CD9">
        <w:trPr>
          <w:trHeight w:val="340"/>
        </w:trPr>
        <w:tc>
          <w:tcPr>
            <w:tcW w:w="4888" w:type="dxa"/>
            <w:shd w:val="clear" w:color="auto" w:fill="auto"/>
            <w:noWrap/>
            <w:vAlign w:val="center"/>
          </w:tcPr>
          <w:p w14:paraId="47FD10FA" w14:textId="77777777" w:rsidR="00551CD9" w:rsidRPr="007A4524" w:rsidRDefault="00551CD9" w:rsidP="00551CD9">
            <w:pPr>
              <w:spacing w:after="0" w:line="240" w:lineRule="auto"/>
              <w:rPr>
                <w:rFonts w:eastAsia="Times New Roman" w:cs="Arial"/>
                <w:color w:val="000000"/>
                <w:szCs w:val="20"/>
                <w:lang w:eastAsia="en-AU"/>
              </w:rPr>
            </w:pPr>
            <w:r>
              <w:rPr>
                <w:rFonts w:eastAsia="Times New Roman" w:cs="Arial"/>
                <w:b/>
                <w:bCs/>
                <w:color w:val="000000"/>
                <w:szCs w:val="20"/>
                <w:lang w:eastAsia="en-AU"/>
              </w:rPr>
              <w:lastRenderedPageBreak/>
              <w:t>CLUE s</w:t>
            </w:r>
            <w:r w:rsidRPr="007A4524">
              <w:rPr>
                <w:rFonts w:eastAsia="Times New Roman" w:cs="Arial"/>
                <w:b/>
                <w:bCs/>
                <w:color w:val="000000"/>
                <w:szCs w:val="20"/>
                <w:lang w:eastAsia="en-AU"/>
              </w:rPr>
              <w:t>pace use</w:t>
            </w:r>
            <w:r>
              <w:rPr>
                <w:rFonts w:eastAsia="Times New Roman" w:cs="Arial"/>
                <w:b/>
                <w:bCs/>
                <w:color w:val="000000"/>
                <w:szCs w:val="20"/>
                <w:lang w:eastAsia="en-AU"/>
              </w:rPr>
              <w:t xml:space="preserve"> codes (continued)</w:t>
            </w:r>
          </w:p>
        </w:tc>
        <w:tc>
          <w:tcPr>
            <w:tcW w:w="4888" w:type="dxa"/>
            <w:shd w:val="clear" w:color="auto" w:fill="auto"/>
            <w:vAlign w:val="center"/>
          </w:tcPr>
          <w:p w14:paraId="731ADCCC"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b/>
                <w:bCs/>
                <w:color w:val="000000"/>
                <w:szCs w:val="20"/>
                <w:lang w:eastAsia="en-AU"/>
              </w:rPr>
              <w:t>Forecasts model space use</w:t>
            </w:r>
            <w:r>
              <w:rPr>
                <w:rFonts w:eastAsia="Times New Roman" w:cs="Arial"/>
                <w:b/>
                <w:bCs/>
                <w:color w:val="000000"/>
                <w:szCs w:val="20"/>
                <w:lang w:eastAsia="en-AU"/>
              </w:rPr>
              <w:t xml:space="preserve"> (continued)</w:t>
            </w:r>
          </w:p>
        </w:tc>
      </w:tr>
      <w:tr w:rsidR="00551CD9" w:rsidRPr="007A4524" w14:paraId="02925BD0" w14:textId="77777777" w:rsidTr="00551CD9">
        <w:trPr>
          <w:trHeight w:val="340"/>
        </w:trPr>
        <w:tc>
          <w:tcPr>
            <w:tcW w:w="4888" w:type="dxa"/>
            <w:shd w:val="clear" w:color="auto" w:fill="auto"/>
            <w:noWrap/>
            <w:vAlign w:val="center"/>
            <w:hideMark/>
          </w:tcPr>
          <w:p w14:paraId="1BB16A58"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Unoccupied - Under Construction</w:t>
            </w:r>
          </w:p>
        </w:tc>
        <w:tc>
          <w:tcPr>
            <w:tcW w:w="4888" w:type="dxa"/>
            <w:shd w:val="clear" w:color="auto" w:fill="auto"/>
            <w:vAlign w:val="center"/>
          </w:tcPr>
          <w:p w14:paraId="422CFBB3"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Vacant</w:t>
            </w:r>
          </w:p>
        </w:tc>
      </w:tr>
      <w:tr w:rsidR="00551CD9" w:rsidRPr="007A4524" w14:paraId="6C651D83" w14:textId="77777777" w:rsidTr="00551CD9">
        <w:trPr>
          <w:trHeight w:val="340"/>
        </w:trPr>
        <w:tc>
          <w:tcPr>
            <w:tcW w:w="4888" w:type="dxa"/>
            <w:shd w:val="clear" w:color="auto" w:fill="auto"/>
            <w:noWrap/>
            <w:vAlign w:val="center"/>
            <w:hideMark/>
          </w:tcPr>
          <w:p w14:paraId="4FDA2D08"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Unoccupied - Under Demolition/Condemned</w:t>
            </w:r>
          </w:p>
        </w:tc>
        <w:tc>
          <w:tcPr>
            <w:tcW w:w="4888" w:type="dxa"/>
            <w:shd w:val="clear" w:color="auto" w:fill="auto"/>
            <w:vAlign w:val="center"/>
          </w:tcPr>
          <w:p w14:paraId="543E4E61"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Vacant</w:t>
            </w:r>
          </w:p>
        </w:tc>
      </w:tr>
      <w:tr w:rsidR="00551CD9" w:rsidRPr="007A4524" w14:paraId="279E6ABE" w14:textId="77777777" w:rsidTr="00551CD9">
        <w:trPr>
          <w:trHeight w:val="340"/>
        </w:trPr>
        <w:tc>
          <w:tcPr>
            <w:tcW w:w="4888" w:type="dxa"/>
            <w:shd w:val="clear" w:color="auto" w:fill="auto"/>
            <w:noWrap/>
            <w:vAlign w:val="center"/>
            <w:hideMark/>
          </w:tcPr>
          <w:p w14:paraId="3D3C444F"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Unoccupied - Under Renovation</w:t>
            </w:r>
          </w:p>
        </w:tc>
        <w:tc>
          <w:tcPr>
            <w:tcW w:w="4888" w:type="dxa"/>
            <w:shd w:val="clear" w:color="auto" w:fill="auto"/>
            <w:vAlign w:val="center"/>
          </w:tcPr>
          <w:p w14:paraId="50A71F8C"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Vacant</w:t>
            </w:r>
          </w:p>
        </w:tc>
      </w:tr>
      <w:tr w:rsidR="00551CD9" w:rsidRPr="007A4524" w14:paraId="4983F98B" w14:textId="77777777" w:rsidTr="00551CD9">
        <w:trPr>
          <w:trHeight w:val="340"/>
        </w:trPr>
        <w:tc>
          <w:tcPr>
            <w:tcW w:w="4888" w:type="dxa"/>
            <w:shd w:val="clear" w:color="auto" w:fill="auto"/>
            <w:noWrap/>
            <w:vAlign w:val="center"/>
            <w:hideMark/>
          </w:tcPr>
          <w:p w14:paraId="1BF85435"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Unoccupied - Undeveloped Site</w:t>
            </w:r>
          </w:p>
        </w:tc>
        <w:tc>
          <w:tcPr>
            <w:tcW w:w="4888" w:type="dxa"/>
            <w:shd w:val="clear" w:color="auto" w:fill="auto"/>
            <w:vAlign w:val="center"/>
          </w:tcPr>
          <w:p w14:paraId="15EFEC9F"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Vacant</w:t>
            </w:r>
          </w:p>
        </w:tc>
      </w:tr>
      <w:tr w:rsidR="00551CD9" w:rsidRPr="007A4524" w14:paraId="50DA5A3B" w14:textId="77777777" w:rsidTr="00551CD9">
        <w:trPr>
          <w:trHeight w:val="340"/>
        </w:trPr>
        <w:tc>
          <w:tcPr>
            <w:tcW w:w="4888" w:type="dxa"/>
            <w:shd w:val="clear" w:color="auto" w:fill="auto"/>
            <w:noWrap/>
            <w:vAlign w:val="center"/>
            <w:hideMark/>
          </w:tcPr>
          <w:p w14:paraId="54D39DC8"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Unoccupied - Unused</w:t>
            </w:r>
          </w:p>
        </w:tc>
        <w:tc>
          <w:tcPr>
            <w:tcW w:w="4888" w:type="dxa"/>
            <w:shd w:val="clear" w:color="auto" w:fill="auto"/>
            <w:vAlign w:val="center"/>
          </w:tcPr>
          <w:p w14:paraId="0BA4B4AD"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Vacant</w:t>
            </w:r>
          </w:p>
        </w:tc>
      </w:tr>
      <w:tr w:rsidR="00551CD9" w:rsidRPr="007A4524" w14:paraId="19525C0C" w14:textId="77777777" w:rsidTr="00551CD9">
        <w:trPr>
          <w:trHeight w:val="340"/>
        </w:trPr>
        <w:tc>
          <w:tcPr>
            <w:tcW w:w="4888" w:type="dxa"/>
            <w:shd w:val="clear" w:color="auto" w:fill="auto"/>
            <w:noWrap/>
            <w:vAlign w:val="center"/>
            <w:hideMark/>
          </w:tcPr>
          <w:p w14:paraId="7F24E709"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Wholesale</w:t>
            </w:r>
          </w:p>
        </w:tc>
        <w:tc>
          <w:tcPr>
            <w:tcW w:w="4888" w:type="dxa"/>
            <w:shd w:val="clear" w:color="auto" w:fill="auto"/>
            <w:vAlign w:val="center"/>
          </w:tcPr>
          <w:p w14:paraId="5311C6A9"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Industrial</w:t>
            </w:r>
          </w:p>
        </w:tc>
      </w:tr>
      <w:tr w:rsidR="00551CD9" w:rsidRPr="007A4524" w14:paraId="0A6CFE77" w14:textId="77777777" w:rsidTr="00551CD9">
        <w:trPr>
          <w:trHeight w:val="340"/>
        </w:trPr>
        <w:tc>
          <w:tcPr>
            <w:tcW w:w="4888" w:type="dxa"/>
            <w:shd w:val="clear" w:color="auto" w:fill="auto"/>
            <w:noWrap/>
            <w:vAlign w:val="center"/>
            <w:hideMark/>
          </w:tcPr>
          <w:p w14:paraId="3748FDDE"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Workshop/Studio</w:t>
            </w:r>
          </w:p>
        </w:tc>
        <w:tc>
          <w:tcPr>
            <w:tcW w:w="4888" w:type="dxa"/>
            <w:shd w:val="clear" w:color="auto" w:fill="auto"/>
            <w:vAlign w:val="center"/>
          </w:tcPr>
          <w:p w14:paraId="746996A9" w14:textId="77777777" w:rsidR="00551CD9" w:rsidRPr="007A4524" w:rsidRDefault="00551CD9" w:rsidP="00551CD9">
            <w:pPr>
              <w:spacing w:after="0" w:line="240" w:lineRule="auto"/>
              <w:rPr>
                <w:rFonts w:eastAsia="Times New Roman" w:cs="Arial"/>
                <w:color w:val="000000"/>
                <w:szCs w:val="20"/>
                <w:lang w:eastAsia="en-AU"/>
              </w:rPr>
            </w:pPr>
            <w:r w:rsidRPr="007A4524">
              <w:rPr>
                <w:rFonts w:eastAsia="Times New Roman" w:cs="Arial"/>
                <w:color w:val="000000"/>
                <w:szCs w:val="20"/>
                <w:lang w:eastAsia="en-AU"/>
              </w:rPr>
              <w:t>Office</w:t>
            </w:r>
          </w:p>
        </w:tc>
      </w:tr>
    </w:tbl>
    <w:p w14:paraId="20B4A42C" w14:textId="77777777" w:rsidR="008C23CF" w:rsidRPr="00551CD9" w:rsidRDefault="00E57B1C" w:rsidP="00551CD9">
      <w:pPr>
        <w:spacing w:before="120"/>
        <w:rPr>
          <w:sz w:val="16"/>
          <w:lang w:val="en-US"/>
        </w:rPr>
      </w:pPr>
      <w:r>
        <w:rPr>
          <w:sz w:val="16"/>
          <w:lang w:val="en-US"/>
        </w:rPr>
        <w:t>*</w:t>
      </w:r>
      <w:r w:rsidR="007A4524" w:rsidRPr="00E57B1C">
        <w:rPr>
          <w:sz w:val="16"/>
          <w:lang w:val="en-US"/>
        </w:rPr>
        <w:t xml:space="preserve"> </w:t>
      </w:r>
      <w:r w:rsidR="00551CD9" w:rsidRPr="00E57B1C">
        <w:rPr>
          <w:sz w:val="16"/>
          <w:lang w:val="en-US"/>
        </w:rPr>
        <w:t>Forecasts s</w:t>
      </w:r>
      <w:r w:rsidR="007A4524" w:rsidRPr="00E57B1C">
        <w:rPr>
          <w:sz w:val="16"/>
          <w:lang w:val="en-US"/>
        </w:rPr>
        <w:t>plit into 'Entertainment - Hospitality' and 'Entertainment - Other' based on CLUE industry (</w:t>
      </w:r>
      <w:proofErr w:type="gramStart"/>
      <w:r w:rsidR="00551CD9" w:rsidRPr="00E57B1C">
        <w:rPr>
          <w:sz w:val="16"/>
          <w:lang w:val="en-US"/>
        </w:rPr>
        <w:t>e.g.</w:t>
      </w:r>
      <w:proofErr w:type="gramEnd"/>
      <w:r w:rsidR="00551CD9" w:rsidRPr="00E57B1C">
        <w:rPr>
          <w:sz w:val="16"/>
          <w:lang w:val="en-US"/>
        </w:rPr>
        <w:t xml:space="preserve"> </w:t>
      </w:r>
      <w:r w:rsidR="007A4524" w:rsidRPr="00E57B1C">
        <w:rPr>
          <w:sz w:val="16"/>
          <w:lang w:val="en-US"/>
        </w:rPr>
        <w:t>'Food and Beverage Services' and all other industries respectively)</w:t>
      </w:r>
    </w:p>
    <w:sectPr w:rsidR="008C23CF" w:rsidRPr="00551CD9" w:rsidSect="00E6363B">
      <w:headerReference w:type="even" r:id="rId18"/>
      <w:headerReference w:type="default" r:id="rId19"/>
      <w:footerReference w:type="even" r:id="rId20"/>
      <w:footerReference w:type="default" r:id="rId21"/>
      <w:headerReference w:type="first" r:id="rId22"/>
      <w:footerReference w:type="first" r:id="rId23"/>
      <w:endnotePr>
        <w:numFmt w:val="decimal"/>
      </w:endnotePr>
      <w:pgSz w:w="11900" w:h="16840"/>
      <w:pgMar w:top="1418" w:right="987" w:bottom="1134" w:left="1134" w:header="709"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B00A" w14:textId="77777777" w:rsidR="004F40C3" w:rsidRDefault="004F40C3" w:rsidP="00BC719D">
      <w:pPr>
        <w:spacing w:after="0"/>
      </w:pPr>
      <w:r>
        <w:separator/>
      </w:r>
    </w:p>
  </w:endnote>
  <w:endnote w:type="continuationSeparator" w:id="0">
    <w:p w14:paraId="60061E4C" w14:textId="77777777" w:rsidR="004F40C3" w:rsidRDefault="004F40C3"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F40C3" w:rsidRDefault="004F4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553C90A8" w:rsidR="004F40C3" w:rsidRDefault="004F40C3">
    <w:pPr>
      <w:pStyle w:val="Footer"/>
      <w:jc w:val="center"/>
    </w:pPr>
    <w:r>
      <w:fldChar w:fldCharType="begin"/>
    </w:r>
    <w:r>
      <w:instrText xml:space="preserve"> PAGE   \* MERGEFORMAT </w:instrText>
    </w:r>
    <w:r>
      <w:fldChar w:fldCharType="separate"/>
    </w:r>
    <w:r w:rsidR="00AB0BF3">
      <w:rPr>
        <w:noProof/>
      </w:rPr>
      <w:t>15</w:t>
    </w:r>
    <w:r>
      <w:rPr>
        <w:noProof/>
      </w:rPr>
      <w:fldChar w:fldCharType="end"/>
    </w:r>
  </w:p>
  <w:p w14:paraId="0D0B940D" w14:textId="77777777" w:rsidR="004F40C3" w:rsidRDefault="004F4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4F40C3" w:rsidRDefault="004F4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D5A5" w14:textId="77777777" w:rsidR="004F40C3" w:rsidRDefault="004F40C3" w:rsidP="00577A39">
      <w:pPr>
        <w:spacing w:after="40" w:line="240" w:lineRule="auto"/>
      </w:pPr>
      <w:r>
        <w:separator/>
      </w:r>
    </w:p>
  </w:footnote>
  <w:footnote w:type="continuationSeparator" w:id="0">
    <w:p w14:paraId="3DEEC669" w14:textId="77777777" w:rsidR="004F40C3" w:rsidRDefault="004F40C3" w:rsidP="00EA2130">
      <w:r>
        <w:continuationSeparator/>
      </w:r>
    </w:p>
  </w:footnote>
  <w:footnote w:id="1">
    <w:p w14:paraId="38E77DA6" w14:textId="5AEC12CF" w:rsidR="004F40C3" w:rsidRDefault="004F40C3">
      <w:pPr>
        <w:pStyle w:val="FootnoteText"/>
      </w:pPr>
      <w:r>
        <w:rPr>
          <w:rStyle w:val="FootnoteReference"/>
        </w:rPr>
        <w:footnoteRef/>
      </w:r>
      <w:r>
        <w:t xml:space="preserve"> </w:t>
      </w:r>
      <w:r w:rsidRPr="0075075B">
        <w:t>https://population.gov.au/sites/population.gov.au/files/2021-12/population_statement_202</w:t>
      </w:r>
      <w:r w:rsidRPr="0075075B">
        <w:t>1</w:t>
      </w:r>
      <w:r w:rsidRPr="0075075B">
        <w:t>.pdf</w:t>
      </w:r>
    </w:p>
  </w:footnote>
  <w:footnote w:id="2">
    <w:p w14:paraId="15FD1F9C" w14:textId="196BA2E9" w:rsidR="004F40C3" w:rsidRDefault="004F40C3">
      <w:pPr>
        <w:pStyle w:val="FootnoteText"/>
      </w:pPr>
      <w:r>
        <w:rPr>
          <w:rStyle w:val="FootnoteReference"/>
        </w:rPr>
        <w:footnoteRef/>
      </w:r>
      <w:r>
        <w:t xml:space="preserve"> </w:t>
      </w:r>
      <w:r w:rsidRPr="0075075B">
        <w:t>https://www.melbourne.vic.gov.au/about-melbourne/research-and-statistics/city-economy/census-land-use-employment/Pages/clue-small-area-and-block-maps.aspx</w:t>
      </w:r>
      <w:r>
        <w:t xml:space="preserve"> </w:t>
      </w:r>
    </w:p>
  </w:footnote>
  <w:footnote w:id="3">
    <w:p w14:paraId="0A2026CF" w14:textId="56361736" w:rsidR="004F40C3" w:rsidRDefault="004F40C3">
      <w:pPr>
        <w:pStyle w:val="FootnoteText"/>
      </w:pPr>
      <w:r>
        <w:rPr>
          <w:rStyle w:val="FootnoteReference"/>
        </w:rPr>
        <w:footnoteRef/>
      </w:r>
      <w:r>
        <w:t xml:space="preserve"> </w:t>
      </w:r>
      <w:r w:rsidR="00C815C0" w:rsidRPr="0075075B">
        <w:t>https://data.melbourne.vic.gov.au/explore/?q=forecasts&amp;sort=modified</w:t>
      </w:r>
    </w:p>
  </w:footnote>
  <w:footnote w:id="4">
    <w:p w14:paraId="4BC96DBB" w14:textId="77777777" w:rsidR="004F40C3" w:rsidRDefault="004F40C3">
      <w:pPr>
        <w:pStyle w:val="FootnoteText"/>
      </w:pPr>
      <w:r>
        <w:rPr>
          <w:rStyle w:val="FootnoteReference"/>
        </w:rPr>
        <w:footnoteRef/>
      </w:r>
      <w:r>
        <w:t xml:space="preserve"> </w:t>
      </w:r>
      <w:r w:rsidRPr="00363025">
        <w:t>https://www.abs.gov.au/AUSSTATS/abs@.nsf/mf/1292.0</w:t>
      </w:r>
    </w:p>
  </w:footnote>
  <w:footnote w:id="5">
    <w:p w14:paraId="24CF5B3B" w14:textId="77777777" w:rsidR="004F40C3" w:rsidRDefault="004F40C3">
      <w:pPr>
        <w:pStyle w:val="FootnoteText"/>
      </w:pPr>
      <w:r>
        <w:rPr>
          <w:rStyle w:val="FootnoteReference"/>
        </w:rPr>
        <w:footnoteRef/>
      </w:r>
      <w:r>
        <w:t xml:space="preserve"> </w:t>
      </w:r>
      <w:r w:rsidRPr="00C2251F">
        <w:t>https://www.melbourne.vic.gov.au/SiteCollectionDocuments/clue-definitions.pdf</w:t>
      </w:r>
    </w:p>
  </w:footnote>
  <w:footnote w:id="6">
    <w:p w14:paraId="3D9A0164" w14:textId="0848BC29" w:rsidR="0075075B" w:rsidRPr="0075075B" w:rsidRDefault="0075075B">
      <w:pPr>
        <w:pStyle w:val="FootnoteText"/>
        <w:rPr>
          <w:sz w:val="18"/>
          <w:szCs w:val="21"/>
        </w:rPr>
      </w:pPr>
      <w:r>
        <w:rPr>
          <w:rStyle w:val="FootnoteReference"/>
        </w:rPr>
        <w:footnoteRef/>
      </w:r>
      <w:r>
        <w:t xml:space="preserve"> </w:t>
      </w:r>
      <w:r w:rsidRPr="0075075B">
        <w:t>https://www.melbourne.vic.gov.au/SiteCollectionDocuments/clue-definitions.pdf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4F40C3" w:rsidRDefault="004F4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4F40C3" w:rsidRDefault="004F4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4F40C3" w:rsidRDefault="004F4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A755AD"/>
    <w:multiLevelType w:val="hybridMultilevel"/>
    <w:tmpl w:val="4D6CA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0A785FEB"/>
    <w:multiLevelType w:val="hybridMultilevel"/>
    <w:tmpl w:val="257EC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93BDC"/>
    <w:multiLevelType w:val="hybridMultilevel"/>
    <w:tmpl w:val="3F364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23530A"/>
    <w:multiLevelType w:val="hybridMultilevel"/>
    <w:tmpl w:val="FE189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15:restartNumberingAfterBreak="0">
    <w:nsid w:val="2A2B5D1C"/>
    <w:multiLevelType w:val="multilevel"/>
    <w:tmpl w:val="16506B6C"/>
    <w:numStyleLink w:val="ListNumbers"/>
  </w:abstractNum>
  <w:abstractNum w:abstractNumId="10" w15:restartNumberingAfterBreak="0">
    <w:nsid w:val="2CCD7826"/>
    <w:multiLevelType w:val="hybridMultilevel"/>
    <w:tmpl w:val="5E2C1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C8078B"/>
    <w:multiLevelType w:val="hybridMultilevel"/>
    <w:tmpl w:val="3B8A6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BE0991"/>
    <w:multiLevelType w:val="hybridMultilevel"/>
    <w:tmpl w:val="72F0F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C10957"/>
    <w:multiLevelType w:val="multilevel"/>
    <w:tmpl w:val="16506B6C"/>
    <w:numStyleLink w:val="ListNumbers"/>
  </w:abstractNum>
  <w:abstractNum w:abstractNumId="15" w15:restartNumberingAfterBreak="0">
    <w:nsid w:val="399264CF"/>
    <w:multiLevelType w:val="hybridMultilevel"/>
    <w:tmpl w:val="63E6C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240477"/>
    <w:multiLevelType w:val="hybridMultilevel"/>
    <w:tmpl w:val="DDA47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08127B"/>
    <w:multiLevelType w:val="hybridMultilevel"/>
    <w:tmpl w:val="5CC68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053606"/>
    <w:multiLevelType w:val="hybridMultilevel"/>
    <w:tmpl w:val="98CE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733469"/>
    <w:multiLevelType w:val="hybridMultilevel"/>
    <w:tmpl w:val="B36CB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B011A4"/>
    <w:multiLevelType w:val="hybridMultilevel"/>
    <w:tmpl w:val="E6806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ED0C4A"/>
    <w:multiLevelType w:val="hybridMultilevel"/>
    <w:tmpl w:val="52BED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503E71"/>
    <w:multiLevelType w:val="hybridMultilevel"/>
    <w:tmpl w:val="68F87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8F6AA8"/>
    <w:multiLevelType w:val="hybridMultilevel"/>
    <w:tmpl w:val="75EA1A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A251B6"/>
    <w:multiLevelType w:val="hybridMultilevel"/>
    <w:tmpl w:val="376443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1209CA"/>
    <w:multiLevelType w:val="multilevel"/>
    <w:tmpl w:val="16506B6C"/>
    <w:numStyleLink w:val="ListNumbers"/>
  </w:abstractNum>
  <w:abstractNum w:abstractNumId="27" w15:restartNumberingAfterBreak="0">
    <w:nsid w:val="6FE27606"/>
    <w:multiLevelType w:val="hybridMultilevel"/>
    <w:tmpl w:val="42D43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873523"/>
    <w:multiLevelType w:val="hybridMultilevel"/>
    <w:tmpl w:val="81E80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2C43DC"/>
    <w:multiLevelType w:val="multilevel"/>
    <w:tmpl w:val="16506B6C"/>
    <w:numStyleLink w:val="ListNumbers"/>
  </w:abstractNum>
  <w:abstractNum w:abstractNumId="30"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16cid:durableId="316618104">
    <w:abstractNumId w:val="4"/>
  </w:num>
  <w:num w:numId="2" w16cid:durableId="748696813">
    <w:abstractNumId w:val="8"/>
  </w:num>
  <w:num w:numId="3" w16cid:durableId="1454445276">
    <w:abstractNumId w:val="29"/>
  </w:num>
  <w:num w:numId="4" w16cid:durableId="1884320139">
    <w:abstractNumId w:val="0"/>
  </w:num>
  <w:num w:numId="5" w16cid:durableId="1598244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7461517">
    <w:abstractNumId w:val="9"/>
  </w:num>
  <w:num w:numId="7" w16cid:durableId="20198464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071931">
    <w:abstractNumId w:val="26"/>
  </w:num>
  <w:num w:numId="9" w16cid:durableId="1971861342">
    <w:abstractNumId w:val="14"/>
  </w:num>
  <w:num w:numId="10" w16cid:durableId="11152531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8481464">
    <w:abstractNumId w:val="1"/>
  </w:num>
  <w:num w:numId="12" w16cid:durableId="526673906">
    <w:abstractNumId w:val="13"/>
  </w:num>
  <w:num w:numId="13" w16cid:durableId="1495800131">
    <w:abstractNumId w:val="21"/>
  </w:num>
  <w:num w:numId="14" w16cid:durableId="1312254537">
    <w:abstractNumId w:val="30"/>
  </w:num>
  <w:num w:numId="15" w16cid:durableId="8652894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7192894">
    <w:abstractNumId w:val="2"/>
  </w:num>
  <w:num w:numId="17" w16cid:durableId="885292802">
    <w:abstractNumId w:val="5"/>
  </w:num>
  <w:num w:numId="18" w16cid:durableId="762997024">
    <w:abstractNumId w:val="23"/>
  </w:num>
  <w:num w:numId="19" w16cid:durableId="975529231">
    <w:abstractNumId w:val="22"/>
  </w:num>
  <w:num w:numId="20" w16cid:durableId="1684167513">
    <w:abstractNumId w:val="6"/>
  </w:num>
  <w:num w:numId="21" w16cid:durableId="1214079860">
    <w:abstractNumId w:val="12"/>
  </w:num>
  <w:num w:numId="22" w16cid:durableId="626787253">
    <w:abstractNumId w:val="24"/>
  </w:num>
  <w:num w:numId="23" w16cid:durableId="1820732613">
    <w:abstractNumId w:val="25"/>
  </w:num>
  <w:num w:numId="24" w16cid:durableId="1110587601">
    <w:abstractNumId w:val="15"/>
  </w:num>
  <w:num w:numId="25" w16cid:durableId="726535868">
    <w:abstractNumId w:val="17"/>
  </w:num>
  <w:num w:numId="26" w16cid:durableId="543761475">
    <w:abstractNumId w:val="10"/>
  </w:num>
  <w:num w:numId="27" w16cid:durableId="1873567090">
    <w:abstractNumId w:val="19"/>
  </w:num>
  <w:num w:numId="28" w16cid:durableId="1463965295">
    <w:abstractNumId w:val="18"/>
  </w:num>
  <w:num w:numId="29" w16cid:durableId="1442606842">
    <w:abstractNumId w:val="20"/>
  </w:num>
  <w:num w:numId="30" w16cid:durableId="1156531435">
    <w:abstractNumId w:val="27"/>
  </w:num>
  <w:num w:numId="31" w16cid:durableId="173230322">
    <w:abstractNumId w:val="4"/>
  </w:num>
  <w:num w:numId="32" w16cid:durableId="1856650791">
    <w:abstractNumId w:val="7"/>
  </w:num>
  <w:num w:numId="33" w16cid:durableId="1272513848">
    <w:abstractNumId w:val="16"/>
  </w:num>
  <w:num w:numId="34" w16cid:durableId="1512186855">
    <w:abstractNumId w:val="2"/>
  </w:num>
  <w:num w:numId="35" w16cid:durableId="2048993635">
    <w:abstractNumId w:val="2"/>
  </w:num>
  <w:num w:numId="36" w16cid:durableId="2128697722">
    <w:abstractNumId w:val="2"/>
  </w:num>
  <w:num w:numId="37" w16cid:durableId="1440753613">
    <w:abstractNumId w:val="4"/>
  </w:num>
  <w:num w:numId="38" w16cid:durableId="278101775">
    <w:abstractNumId w:val="2"/>
  </w:num>
  <w:num w:numId="39" w16cid:durableId="2089955998">
    <w:abstractNumId w:val="2"/>
  </w:num>
  <w:num w:numId="40" w16cid:durableId="851919237">
    <w:abstractNumId w:val="2"/>
  </w:num>
  <w:num w:numId="41" w16cid:durableId="123356032">
    <w:abstractNumId w:val="2"/>
  </w:num>
  <w:num w:numId="42" w16cid:durableId="667288247">
    <w:abstractNumId w:val="2"/>
  </w:num>
  <w:num w:numId="43" w16cid:durableId="941687371">
    <w:abstractNumId w:val="2"/>
  </w:num>
  <w:num w:numId="44" w16cid:durableId="899024236">
    <w:abstractNumId w:val="2"/>
  </w:num>
  <w:num w:numId="45" w16cid:durableId="1844855478">
    <w:abstractNumId w:val="2"/>
  </w:num>
  <w:num w:numId="46" w16cid:durableId="1479956516">
    <w:abstractNumId w:val="2"/>
  </w:num>
  <w:num w:numId="47" w16cid:durableId="545067068">
    <w:abstractNumId w:val="2"/>
  </w:num>
  <w:num w:numId="48" w16cid:durableId="2063366236">
    <w:abstractNumId w:val="28"/>
  </w:num>
  <w:num w:numId="49" w16cid:durableId="1023165705">
    <w:abstractNumId w:val="3"/>
  </w:num>
  <w:num w:numId="50" w16cid:durableId="157249966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150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DC"/>
    <w:rsid w:val="00000D7B"/>
    <w:rsid w:val="00004B46"/>
    <w:rsid w:val="000126FC"/>
    <w:rsid w:val="00020B35"/>
    <w:rsid w:val="0003014D"/>
    <w:rsid w:val="000437C5"/>
    <w:rsid w:val="000474AE"/>
    <w:rsid w:val="00070E34"/>
    <w:rsid w:val="00071857"/>
    <w:rsid w:val="000742EB"/>
    <w:rsid w:val="0009749F"/>
    <w:rsid w:val="000A0C3A"/>
    <w:rsid w:val="000A2BDA"/>
    <w:rsid w:val="000A3020"/>
    <w:rsid w:val="000A48D5"/>
    <w:rsid w:val="000A7F2B"/>
    <w:rsid w:val="000B5EAA"/>
    <w:rsid w:val="000D1591"/>
    <w:rsid w:val="000D3E7D"/>
    <w:rsid w:val="000D53D3"/>
    <w:rsid w:val="000F3535"/>
    <w:rsid w:val="001223DC"/>
    <w:rsid w:val="00126D51"/>
    <w:rsid w:val="00145294"/>
    <w:rsid w:val="0017489F"/>
    <w:rsid w:val="00190B0E"/>
    <w:rsid w:val="001916BF"/>
    <w:rsid w:val="001B3AA2"/>
    <w:rsid w:val="001B4D40"/>
    <w:rsid w:val="001B51BF"/>
    <w:rsid w:val="001B5DAD"/>
    <w:rsid w:val="001D104E"/>
    <w:rsid w:val="001F46B4"/>
    <w:rsid w:val="001F554D"/>
    <w:rsid w:val="00204B94"/>
    <w:rsid w:val="002259B4"/>
    <w:rsid w:val="00225D29"/>
    <w:rsid w:val="00230CC9"/>
    <w:rsid w:val="002358F0"/>
    <w:rsid w:val="002364EF"/>
    <w:rsid w:val="002436A6"/>
    <w:rsid w:val="002438B7"/>
    <w:rsid w:val="002474C8"/>
    <w:rsid w:val="0024773F"/>
    <w:rsid w:val="002507F4"/>
    <w:rsid w:val="0028186B"/>
    <w:rsid w:val="002B7AEB"/>
    <w:rsid w:val="002D630D"/>
    <w:rsid w:val="002E4153"/>
    <w:rsid w:val="002F47B6"/>
    <w:rsid w:val="002F6A88"/>
    <w:rsid w:val="00306BA6"/>
    <w:rsid w:val="00325518"/>
    <w:rsid w:val="0033322C"/>
    <w:rsid w:val="00342C45"/>
    <w:rsid w:val="00343CD2"/>
    <w:rsid w:val="00345820"/>
    <w:rsid w:val="00363025"/>
    <w:rsid w:val="00380F44"/>
    <w:rsid w:val="00390B3A"/>
    <w:rsid w:val="00392688"/>
    <w:rsid w:val="003A061E"/>
    <w:rsid w:val="003A5674"/>
    <w:rsid w:val="003A76BC"/>
    <w:rsid w:val="003C6342"/>
    <w:rsid w:val="003D6082"/>
    <w:rsid w:val="003D63A8"/>
    <w:rsid w:val="003E1D24"/>
    <w:rsid w:val="003E3A9F"/>
    <w:rsid w:val="003E7765"/>
    <w:rsid w:val="003E7B6C"/>
    <w:rsid w:val="00407429"/>
    <w:rsid w:val="00407729"/>
    <w:rsid w:val="00426584"/>
    <w:rsid w:val="00431D45"/>
    <w:rsid w:val="00445B98"/>
    <w:rsid w:val="004564F4"/>
    <w:rsid w:val="00457042"/>
    <w:rsid w:val="0046649C"/>
    <w:rsid w:val="00466845"/>
    <w:rsid w:val="004878DB"/>
    <w:rsid w:val="0049069D"/>
    <w:rsid w:val="00493E0A"/>
    <w:rsid w:val="00494A2D"/>
    <w:rsid w:val="004973A9"/>
    <w:rsid w:val="004A26E3"/>
    <w:rsid w:val="004B5B16"/>
    <w:rsid w:val="004B76A3"/>
    <w:rsid w:val="004C6848"/>
    <w:rsid w:val="004D00DD"/>
    <w:rsid w:val="004D1D4B"/>
    <w:rsid w:val="004D4450"/>
    <w:rsid w:val="004E1ECE"/>
    <w:rsid w:val="004F40C3"/>
    <w:rsid w:val="004F54F5"/>
    <w:rsid w:val="00517361"/>
    <w:rsid w:val="005311A9"/>
    <w:rsid w:val="00535159"/>
    <w:rsid w:val="0053666A"/>
    <w:rsid w:val="00537E40"/>
    <w:rsid w:val="005432C1"/>
    <w:rsid w:val="005479A8"/>
    <w:rsid w:val="00551CD9"/>
    <w:rsid w:val="005525F1"/>
    <w:rsid w:val="005620A0"/>
    <w:rsid w:val="0056634E"/>
    <w:rsid w:val="0057264C"/>
    <w:rsid w:val="00577A39"/>
    <w:rsid w:val="005814F5"/>
    <w:rsid w:val="005939CE"/>
    <w:rsid w:val="005A0783"/>
    <w:rsid w:val="005D30BA"/>
    <w:rsid w:val="005E5351"/>
    <w:rsid w:val="005F3614"/>
    <w:rsid w:val="005F4391"/>
    <w:rsid w:val="005F7D28"/>
    <w:rsid w:val="006112FA"/>
    <w:rsid w:val="00643255"/>
    <w:rsid w:val="00664502"/>
    <w:rsid w:val="0067188C"/>
    <w:rsid w:val="00687D4A"/>
    <w:rsid w:val="006A2F63"/>
    <w:rsid w:val="006A3718"/>
    <w:rsid w:val="006C7F7B"/>
    <w:rsid w:val="006D5A08"/>
    <w:rsid w:val="006D6A99"/>
    <w:rsid w:val="006E028D"/>
    <w:rsid w:val="006E5420"/>
    <w:rsid w:val="006F73C5"/>
    <w:rsid w:val="00701FF0"/>
    <w:rsid w:val="00711E47"/>
    <w:rsid w:val="007121A4"/>
    <w:rsid w:val="00712950"/>
    <w:rsid w:val="00715B3E"/>
    <w:rsid w:val="00730CF9"/>
    <w:rsid w:val="0073401D"/>
    <w:rsid w:val="007361D8"/>
    <w:rsid w:val="00737A99"/>
    <w:rsid w:val="0075075B"/>
    <w:rsid w:val="00782E37"/>
    <w:rsid w:val="00787D57"/>
    <w:rsid w:val="00787E1A"/>
    <w:rsid w:val="007949CF"/>
    <w:rsid w:val="007A0AA6"/>
    <w:rsid w:val="007A4524"/>
    <w:rsid w:val="007B7392"/>
    <w:rsid w:val="007E291E"/>
    <w:rsid w:val="007F0661"/>
    <w:rsid w:val="007F64BD"/>
    <w:rsid w:val="00802A52"/>
    <w:rsid w:val="00806997"/>
    <w:rsid w:val="00806F0F"/>
    <w:rsid w:val="0080723B"/>
    <w:rsid w:val="0082290B"/>
    <w:rsid w:val="00822FD5"/>
    <w:rsid w:val="00831224"/>
    <w:rsid w:val="00850D66"/>
    <w:rsid w:val="008519B9"/>
    <w:rsid w:val="00855F84"/>
    <w:rsid w:val="008626A8"/>
    <w:rsid w:val="00873506"/>
    <w:rsid w:val="00876EF0"/>
    <w:rsid w:val="00881C97"/>
    <w:rsid w:val="008920ED"/>
    <w:rsid w:val="008C23CF"/>
    <w:rsid w:val="008D084B"/>
    <w:rsid w:val="008D2DDA"/>
    <w:rsid w:val="008E0C7D"/>
    <w:rsid w:val="008E2476"/>
    <w:rsid w:val="0090232B"/>
    <w:rsid w:val="009042E8"/>
    <w:rsid w:val="009043FC"/>
    <w:rsid w:val="009050C6"/>
    <w:rsid w:val="0091365A"/>
    <w:rsid w:val="00915EAC"/>
    <w:rsid w:val="00917227"/>
    <w:rsid w:val="00945964"/>
    <w:rsid w:val="00953D3C"/>
    <w:rsid w:val="00955E32"/>
    <w:rsid w:val="00963946"/>
    <w:rsid w:val="0097181E"/>
    <w:rsid w:val="009808EC"/>
    <w:rsid w:val="00990B3C"/>
    <w:rsid w:val="009C3326"/>
    <w:rsid w:val="009D1FBA"/>
    <w:rsid w:val="009F0584"/>
    <w:rsid w:val="009F0AC1"/>
    <w:rsid w:val="009F4681"/>
    <w:rsid w:val="00A01D13"/>
    <w:rsid w:val="00A121B3"/>
    <w:rsid w:val="00A146AB"/>
    <w:rsid w:val="00A222FA"/>
    <w:rsid w:val="00A31170"/>
    <w:rsid w:val="00A37CEC"/>
    <w:rsid w:val="00A47634"/>
    <w:rsid w:val="00A61BB7"/>
    <w:rsid w:val="00A77EE6"/>
    <w:rsid w:val="00A8651A"/>
    <w:rsid w:val="00A96CC6"/>
    <w:rsid w:val="00AA4303"/>
    <w:rsid w:val="00AB0BF3"/>
    <w:rsid w:val="00AB6132"/>
    <w:rsid w:val="00AC5322"/>
    <w:rsid w:val="00AC622E"/>
    <w:rsid w:val="00AD2B6E"/>
    <w:rsid w:val="00AF02E0"/>
    <w:rsid w:val="00B07612"/>
    <w:rsid w:val="00B140CC"/>
    <w:rsid w:val="00B152AF"/>
    <w:rsid w:val="00B335E8"/>
    <w:rsid w:val="00B53D5A"/>
    <w:rsid w:val="00B6120B"/>
    <w:rsid w:val="00B61D4E"/>
    <w:rsid w:val="00B61F7F"/>
    <w:rsid w:val="00B64CC9"/>
    <w:rsid w:val="00B7132C"/>
    <w:rsid w:val="00B750EB"/>
    <w:rsid w:val="00B92D60"/>
    <w:rsid w:val="00B93B1F"/>
    <w:rsid w:val="00BA6789"/>
    <w:rsid w:val="00BC5E8E"/>
    <w:rsid w:val="00BC719D"/>
    <w:rsid w:val="00BD2BA8"/>
    <w:rsid w:val="00BE100F"/>
    <w:rsid w:val="00BE1269"/>
    <w:rsid w:val="00BE4B49"/>
    <w:rsid w:val="00BE6801"/>
    <w:rsid w:val="00BF4912"/>
    <w:rsid w:val="00BF6240"/>
    <w:rsid w:val="00BF6C66"/>
    <w:rsid w:val="00BF78EE"/>
    <w:rsid w:val="00C0291B"/>
    <w:rsid w:val="00C05740"/>
    <w:rsid w:val="00C07190"/>
    <w:rsid w:val="00C14414"/>
    <w:rsid w:val="00C14D31"/>
    <w:rsid w:val="00C14F9F"/>
    <w:rsid w:val="00C2007C"/>
    <w:rsid w:val="00C2251F"/>
    <w:rsid w:val="00C36B11"/>
    <w:rsid w:val="00C37F6A"/>
    <w:rsid w:val="00C42412"/>
    <w:rsid w:val="00C55026"/>
    <w:rsid w:val="00C62990"/>
    <w:rsid w:val="00C73DA2"/>
    <w:rsid w:val="00C815C0"/>
    <w:rsid w:val="00C96F42"/>
    <w:rsid w:val="00CA3730"/>
    <w:rsid w:val="00CA5381"/>
    <w:rsid w:val="00CB6145"/>
    <w:rsid w:val="00CC1748"/>
    <w:rsid w:val="00CC2F7D"/>
    <w:rsid w:val="00CD382D"/>
    <w:rsid w:val="00CE49C8"/>
    <w:rsid w:val="00CE5B6B"/>
    <w:rsid w:val="00CF612E"/>
    <w:rsid w:val="00D00427"/>
    <w:rsid w:val="00D02C4A"/>
    <w:rsid w:val="00D55F4F"/>
    <w:rsid w:val="00D60FD1"/>
    <w:rsid w:val="00D77363"/>
    <w:rsid w:val="00D84DF5"/>
    <w:rsid w:val="00DA3662"/>
    <w:rsid w:val="00DD4810"/>
    <w:rsid w:val="00DD5964"/>
    <w:rsid w:val="00E34073"/>
    <w:rsid w:val="00E4646D"/>
    <w:rsid w:val="00E5089C"/>
    <w:rsid w:val="00E5487C"/>
    <w:rsid w:val="00E57B1C"/>
    <w:rsid w:val="00E61CD0"/>
    <w:rsid w:val="00E6363B"/>
    <w:rsid w:val="00E71B94"/>
    <w:rsid w:val="00E814F6"/>
    <w:rsid w:val="00E82859"/>
    <w:rsid w:val="00E86DCD"/>
    <w:rsid w:val="00E87367"/>
    <w:rsid w:val="00E90CEB"/>
    <w:rsid w:val="00E91B42"/>
    <w:rsid w:val="00E94A1C"/>
    <w:rsid w:val="00EA2130"/>
    <w:rsid w:val="00EA513C"/>
    <w:rsid w:val="00EC4AF9"/>
    <w:rsid w:val="00ED24CE"/>
    <w:rsid w:val="00ED7629"/>
    <w:rsid w:val="00EF11AE"/>
    <w:rsid w:val="00F03DF7"/>
    <w:rsid w:val="00F07FBE"/>
    <w:rsid w:val="00F10CFA"/>
    <w:rsid w:val="00F24B46"/>
    <w:rsid w:val="00F4048D"/>
    <w:rsid w:val="00F41FC6"/>
    <w:rsid w:val="00F4215F"/>
    <w:rsid w:val="00F568BB"/>
    <w:rsid w:val="00F61B69"/>
    <w:rsid w:val="00F63593"/>
    <w:rsid w:val="00F642C8"/>
    <w:rsid w:val="00F65DB9"/>
    <w:rsid w:val="00F83261"/>
    <w:rsid w:val="00FA2DFF"/>
    <w:rsid w:val="00FA579D"/>
    <w:rsid w:val="00FC6D23"/>
    <w:rsid w:val="00FD060F"/>
    <w:rsid w:val="00FF1497"/>
    <w:rsid w:val="00FF7F13"/>
    <w:rsid w:val="0886F0B8"/>
    <w:rsid w:val="0D5A61DB"/>
    <w:rsid w:val="0E2D0EEB"/>
    <w:rsid w:val="110985B9"/>
    <w:rsid w:val="154029EC"/>
    <w:rsid w:val="27F20281"/>
    <w:rsid w:val="3F9EE95F"/>
    <w:rsid w:val="4289A327"/>
    <w:rsid w:val="448735C2"/>
    <w:rsid w:val="4A67D3D0"/>
    <w:rsid w:val="4F1CAFDE"/>
    <w:rsid w:val="57A255B4"/>
    <w:rsid w:val="6F99D814"/>
    <w:rsid w:val="7040364D"/>
    <w:rsid w:val="71F99DE3"/>
    <w:rsid w:val="76ADB430"/>
    <w:rsid w:val="76CD0F06"/>
    <w:rsid w:val="777D09F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F5E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C7D"/>
    <w:pPr>
      <w:spacing w:after="24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oMBodytext">
    <w:name w:val="CoM_Body text"/>
    <w:basedOn w:val="Normal"/>
    <w:link w:val="CoMBodytextChar"/>
    <w:qFormat/>
    <w:rsid w:val="00CC1748"/>
    <w:pPr>
      <w:tabs>
        <w:tab w:val="left" w:pos="1134"/>
        <w:tab w:val="left" w:pos="2268"/>
        <w:tab w:val="left" w:pos="3402"/>
        <w:tab w:val="left" w:pos="4536"/>
        <w:tab w:val="left" w:pos="5670"/>
        <w:tab w:val="left" w:pos="6804"/>
        <w:tab w:val="left" w:pos="7938"/>
        <w:tab w:val="left" w:pos="9072"/>
      </w:tabs>
      <w:spacing w:line="288" w:lineRule="auto"/>
    </w:pPr>
    <w:rPr>
      <w:rFonts w:eastAsia="Cambria" w:cs="Arial"/>
      <w:szCs w:val="16"/>
    </w:rPr>
  </w:style>
  <w:style w:type="character" w:customStyle="1" w:styleId="CoMBodytextChar">
    <w:name w:val="CoM_Body text Char"/>
    <w:link w:val="CoMBodytext"/>
    <w:rsid w:val="00CC1748"/>
    <w:rPr>
      <w:rFonts w:ascii="Arial" w:eastAsia="Cambria" w:hAnsi="Arial" w:cs="Arial"/>
      <w:szCs w:val="16"/>
      <w:lang w:eastAsia="en-US"/>
    </w:rPr>
  </w:style>
  <w:style w:type="paragraph" w:customStyle="1" w:styleId="CoMHeading1">
    <w:name w:val="CoM_Heading1"/>
    <w:link w:val="CoMHeading1Char"/>
    <w:qFormat/>
    <w:rsid w:val="00CC1748"/>
    <w:pPr>
      <w:spacing w:before="500" w:after="300" w:line="276" w:lineRule="auto"/>
    </w:pPr>
    <w:rPr>
      <w:rFonts w:ascii="Arial" w:eastAsia="Cambria" w:hAnsi="Arial" w:cs="Arial"/>
      <w:b/>
      <w:caps/>
      <w:color w:val="0A9A59"/>
      <w:sz w:val="32"/>
      <w:szCs w:val="32"/>
      <w:lang w:eastAsia="en-US"/>
    </w:rPr>
  </w:style>
  <w:style w:type="character" w:customStyle="1" w:styleId="CoMHeading1Char">
    <w:name w:val="CoM_Heading1 Char"/>
    <w:link w:val="CoMHeading1"/>
    <w:rsid w:val="00CC1748"/>
    <w:rPr>
      <w:rFonts w:ascii="Arial" w:eastAsia="Cambria" w:hAnsi="Arial" w:cs="Arial"/>
      <w:b/>
      <w:caps/>
      <w:color w:val="0A9A59"/>
      <w:sz w:val="32"/>
      <w:szCs w:val="32"/>
      <w:lang w:eastAsia="en-US"/>
    </w:rPr>
  </w:style>
  <w:style w:type="character" w:styleId="CommentReference">
    <w:name w:val="annotation reference"/>
    <w:uiPriority w:val="99"/>
    <w:semiHidden/>
    <w:unhideWhenUsed/>
    <w:rsid w:val="00DD5964"/>
    <w:rPr>
      <w:sz w:val="16"/>
      <w:szCs w:val="16"/>
    </w:rPr>
  </w:style>
  <w:style w:type="paragraph" w:styleId="CommentText">
    <w:name w:val="annotation text"/>
    <w:basedOn w:val="Normal"/>
    <w:link w:val="CommentTextChar"/>
    <w:uiPriority w:val="99"/>
    <w:semiHidden/>
    <w:unhideWhenUsed/>
    <w:rsid w:val="00DD5964"/>
    <w:pPr>
      <w:spacing w:line="240" w:lineRule="auto"/>
    </w:pPr>
    <w:rPr>
      <w:szCs w:val="20"/>
    </w:rPr>
  </w:style>
  <w:style w:type="character" w:customStyle="1" w:styleId="CommentTextChar">
    <w:name w:val="Comment Text Char"/>
    <w:link w:val="CommentText"/>
    <w:uiPriority w:val="99"/>
    <w:semiHidden/>
    <w:rsid w:val="00DD5964"/>
    <w:rPr>
      <w:rFonts w:ascii="Arial" w:hAnsi="Arial"/>
      <w:lang w:eastAsia="en-US"/>
    </w:rPr>
  </w:style>
  <w:style w:type="paragraph" w:styleId="CommentSubject">
    <w:name w:val="annotation subject"/>
    <w:basedOn w:val="CommentText"/>
    <w:next w:val="CommentText"/>
    <w:link w:val="CommentSubjectChar"/>
    <w:semiHidden/>
    <w:unhideWhenUsed/>
    <w:rsid w:val="00DD5964"/>
    <w:rPr>
      <w:b/>
      <w:bCs/>
    </w:rPr>
  </w:style>
  <w:style w:type="character" w:customStyle="1" w:styleId="CommentSubjectChar">
    <w:name w:val="Comment Subject Char"/>
    <w:link w:val="CommentSubject"/>
    <w:semiHidden/>
    <w:rsid w:val="00DD5964"/>
    <w:rPr>
      <w:rFonts w:ascii="Arial" w:hAnsi="Arial"/>
      <w:b/>
      <w:bCs/>
      <w:lang w:eastAsia="en-US"/>
    </w:rPr>
  </w:style>
  <w:style w:type="character" w:styleId="FollowedHyperlink">
    <w:name w:val="FollowedHyperlink"/>
    <w:basedOn w:val="DefaultParagraphFont"/>
    <w:semiHidden/>
    <w:unhideWhenUsed/>
    <w:rsid w:val="00466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160591">
      <w:bodyDiv w:val="1"/>
      <w:marLeft w:val="0"/>
      <w:marRight w:val="0"/>
      <w:marTop w:val="0"/>
      <w:marBottom w:val="0"/>
      <w:divBdr>
        <w:top w:val="none" w:sz="0" w:space="0" w:color="auto"/>
        <w:left w:val="none" w:sz="0" w:space="0" w:color="auto"/>
        <w:bottom w:val="none" w:sz="0" w:space="0" w:color="auto"/>
        <w:right w:val="none" w:sz="0" w:space="0" w:color="auto"/>
      </w:divBdr>
    </w:div>
    <w:div w:id="738479048">
      <w:bodyDiv w:val="1"/>
      <w:marLeft w:val="0"/>
      <w:marRight w:val="0"/>
      <w:marTop w:val="0"/>
      <w:marBottom w:val="0"/>
      <w:divBdr>
        <w:top w:val="none" w:sz="0" w:space="0" w:color="auto"/>
        <w:left w:val="none" w:sz="0" w:space="0" w:color="auto"/>
        <w:bottom w:val="none" w:sz="0" w:space="0" w:color="auto"/>
        <w:right w:val="none" w:sz="0" w:space="0" w:color="auto"/>
      </w:divBdr>
    </w:div>
    <w:div w:id="1165584080">
      <w:bodyDiv w:val="1"/>
      <w:marLeft w:val="0"/>
      <w:marRight w:val="0"/>
      <w:marTop w:val="0"/>
      <w:marBottom w:val="0"/>
      <w:divBdr>
        <w:top w:val="none" w:sz="0" w:space="0" w:color="auto"/>
        <w:left w:val="none" w:sz="0" w:space="0" w:color="auto"/>
        <w:bottom w:val="none" w:sz="0" w:space="0" w:color="auto"/>
        <w:right w:val="none" w:sz="0" w:space="0" w:color="auto"/>
      </w:divBdr>
    </w:div>
    <w:div w:id="1509560030">
      <w:bodyDiv w:val="1"/>
      <w:marLeft w:val="0"/>
      <w:marRight w:val="0"/>
      <w:marTop w:val="0"/>
      <w:marBottom w:val="0"/>
      <w:divBdr>
        <w:top w:val="none" w:sz="0" w:space="0" w:color="auto"/>
        <w:left w:val="none" w:sz="0" w:space="0" w:color="auto"/>
        <w:bottom w:val="none" w:sz="0" w:space="0" w:color="auto"/>
        <w:right w:val="none" w:sz="0" w:space="0" w:color="auto"/>
      </w:divBdr>
    </w:div>
    <w:div w:id="1587569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lbourne.vic.gov.au/about-melbourne/research-and-statistics/city-economy/census-land-use-employment/Pages/clue-small-area-and-block-map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opulation.gov.au/publications/statements/2021-population-statement" TargetMode="External"/><Relationship Id="rId17" Type="http://schemas.openxmlformats.org/officeDocument/2006/relationships/hyperlink" Target="https://www.melbourne.vic.gov.au/SiteCollectionDocuments/clue-definition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elbourne.vic.gov.au/SiteCollectionDocuments/clue-definition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bs.gov.au/AUSSTATS/abs@.nsf/mf/1292.0"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melbourne.vic.gov.au/explore/?q=forecasts&amp;sort=modifie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EE8C-94EC-4812-AAAE-D7DBF2D5EF0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b232171-3a36-467b-b645-a18470046c5e"/>
    <ds:schemaRef ds:uri="08888155-e7d4-459e-a359-fb1299589fe2"/>
    <ds:schemaRef ds:uri="http://www.w3.org/XML/1998/namespace"/>
    <ds:schemaRef ds:uri="http://purl.org/dc/dcmitype/"/>
  </ds:schemaRefs>
</ds:datastoreItem>
</file>

<file path=customXml/itemProps2.xml><?xml version="1.0" encoding="utf-8"?>
<ds:datastoreItem xmlns:ds="http://schemas.openxmlformats.org/officeDocument/2006/customXml" ds:itemID="{7B919899-C5BE-4D14-8AC8-9D1265C95461}"/>
</file>

<file path=customXml/itemProps3.xml><?xml version="1.0" encoding="utf-8"?>
<ds:datastoreItem xmlns:ds="http://schemas.openxmlformats.org/officeDocument/2006/customXml" ds:itemID="{9CB0BD6C-A5AC-44EF-8BBB-F06C0B185C07}">
  <ds:schemaRefs>
    <ds:schemaRef ds:uri="http://schemas.microsoft.com/sharepoint/v3/contenttype/forms"/>
  </ds:schemaRefs>
</ds:datastoreItem>
</file>

<file path=customXml/itemProps4.xml><?xml version="1.0" encoding="utf-8"?>
<ds:datastoreItem xmlns:ds="http://schemas.openxmlformats.org/officeDocument/2006/customXml" ds:itemID="{1F230E70-CC5C-40BC-AEC8-8B8BBC48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City of Melbourne population and jobs forecasts 2020–2040: summary report 2021</vt:lpstr>
    </vt:vector>
  </TitlesOfParts>
  <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Melbourne population and jobs forecasts 2020–2040: summary report 2021</dc:title>
  <dc:subject/>
  <dc:creator/>
  <cp:keywords/>
  <cp:lastModifiedBy/>
  <cp:revision>2</cp:revision>
  <dcterms:created xsi:type="dcterms:W3CDTF">2022-11-28T22:15:00Z</dcterms:created>
  <dcterms:modified xsi:type="dcterms:W3CDTF">2023-02-01T04:34:00Z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20230131154915118</vt:lpwstr>
  </property>
  <property fmtid="{D5CDD505-2E9C-101B-9397-08002B2CF9AE}" pid="3" name="ContentTypeId">
    <vt:lpwstr>0x010100759DCEB4B14F5A418FC6C1C10DF60084</vt:lpwstr>
  </property>
  <property fmtid="{D5CDD505-2E9C-101B-9397-08002B2CF9AE}" pid="4" name="MediaServiceImageTags">
    <vt:lpwstr/>
  </property>
</Properties>
</file>