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395A52" w:rsidP="00020B35">
      <w:pPr>
        <w:pStyle w:val="DocumentTitle"/>
        <w:spacing w:before="3360"/>
      </w:pPr>
      <w:r>
        <w:t>National Climate Resilience and Adaptation Strategy</w:t>
      </w:r>
    </w:p>
    <w:p w:rsidR="00395A52" w:rsidRDefault="00395A52" w:rsidP="00395A52">
      <w:pPr>
        <w:pStyle w:val="Subtitle"/>
      </w:pPr>
      <w:r w:rsidRPr="006947FC">
        <w:t xml:space="preserve">City of Melbourne Submission to </w:t>
      </w:r>
      <w:r>
        <w:t>National Climate Resilience a</w:t>
      </w:r>
      <w:r w:rsidRPr="00395A52">
        <w:t>nd Adaptation Strategy</w:t>
      </w:r>
      <w:r>
        <w:t xml:space="preserve"> Taskforce</w:t>
      </w:r>
    </w:p>
    <w:p w:rsidR="00020B35" w:rsidRDefault="00395A52" w:rsidP="00395A52">
      <w:r>
        <w:t>September</w:t>
      </w:r>
      <w:r w:rsidRPr="006947FC">
        <w:t xml:space="preserve"> 2021</w:t>
      </w:r>
      <w:r>
        <w:t xml:space="preserve"> </w:t>
      </w:r>
    </w:p>
    <w:p w:rsidR="00395A52" w:rsidRPr="00BC6212" w:rsidRDefault="00020B35" w:rsidP="00395A52">
      <w:pPr>
        <w:spacing w:after="0" w:line="240" w:lineRule="exact"/>
        <w:rPr>
          <w:rFonts w:eastAsia="Calibri" w:cs="Arial"/>
          <w:szCs w:val="20"/>
          <w:lang w:val="en-US"/>
        </w:rPr>
      </w:pPr>
      <w:r>
        <w:br w:type="page"/>
      </w:r>
      <w:bookmarkStart w:id="0" w:name="_Toc403992345"/>
      <w:bookmarkStart w:id="1" w:name="_Toc403992580"/>
      <w:r w:rsidR="00395A52" w:rsidRPr="00BC6212">
        <w:rPr>
          <w:rFonts w:eastAsia="Calibri" w:cs="Arial"/>
          <w:szCs w:val="20"/>
          <w:lang w:val="en-US"/>
        </w:rPr>
        <w:lastRenderedPageBreak/>
        <w:t xml:space="preserve">6 </w:t>
      </w:r>
      <w:r w:rsidR="00395A52">
        <w:rPr>
          <w:rFonts w:eastAsia="Calibri" w:cs="Arial"/>
          <w:szCs w:val="20"/>
          <w:lang w:val="en-US"/>
        </w:rPr>
        <w:t>September</w:t>
      </w:r>
      <w:r w:rsidR="00395A52" w:rsidRPr="00BC6212">
        <w:rPr>
          <w:rFonts w:eastAsia="Calibri" w:cs="Arial"/>
          <w:szCs w:val="20"/>
          <w:lang w:val="en-US"/>
        </w:rPr>
        <w:t xml:space="preserve"> 2021</w:t>
      </w:r>
    </w:p>
    <w:p w:rsidR="00395A52" w:rsidRPr="00BC6212" w:rsidRDefault="00395A52" w:rsidP="00395A52">
      <w:pPr>
        <w:spacing w:after="0" w:line="240" w:lineRule="auto"/>
        <w:rPr>
          <w:rFonts w:eastAsia="Calibri" w:cs="Arial"/>
          <w:shd w:val="clear" w:color="auto" w:fill="FFFFFF"/>
          <w:lang w:val="en-US"/>
        </w:rPr>
      </w:pPr>
    </w:p>
    <w:p w:rsidR="00395A52" w:rsidRPr="0011101F" w:rsidRDefault="00395A52" w:rsidP="00395A52">
      <w:pPr>
        <w:keepNext/>
        <w:keepLines/>
        <w:spacing w:after="0"/>
        <w:outlineLvl w:val="0"/>
        <w:rPr>
          <w:rFonts w:eastAsia="Times New Roman" w:cs="Arial"/>
          <w:szCs w:val="20"/>
          <w:shd w:val="clear" w:color="auto" w:fill="FFFFFF"/>
          <w:lang w:val="en-US"/>
        </w:rPr>
      </w:pPr>
      <w:r w:rsidRPr="0011101F">
        <w:rPr>
          <w:rFonts w:eastAsia="Times New Roman" w:cs="Arial"/>
          <w:szCs w:val="20"/>
          <w:shd w:val="clear" w:color="auto" w:fill="FFFFFF"/>
          <w:lang w:val="en-US"/>
        </w:rPr>
        <w:t>NCRAS Taskforce</w:t>
      </w:r>
    </w:p>
    <w:p w:rsidR="00395A52" w:rsidRDefault="00395A52" w:rsidP="00395A52">
      <w:pPr>
        <w:keepNext/>
        <w:keepLines/>
        <w:spacing w:after="0"/>
        <w:outlineLvl w:val="0"/>
        <w:rPr>
          <w:rFonts w:eastAsia="Times New Roman" w:cs="Arial"/>
          <w:szCs w:val="20"/>
          <w:shd w:val="clear" w:color="auto" w:fill="FFFFFF"/>
          <w:lang w:val="en-US"/>
        </w:rPr>
      </w:pPr>
      <w:r w:rsidRPr="00395A52">
        <w:rPr>
          <w:rFonts w:eastAsia="Times New Roman" w:cs="Arial"/>
          <w:szCs w:val="20"/>
          <w:shd w:val="clear" w:color="auto" w:fill="FFFFFF"/>
          <w:lang w:val="en-US"/>
        </w:rPr>
        <w:t>GPO Box 858</w:t>
      </w:r>
      <w:r>
        <w:rPr>
          <w:rFonts w:eastAsia="Times New Roman" w:cs="Arial"/>
          <w:szCs w:val="20"/>
          <w:shd w:val="clear" w:color="auto" w:fill="FFFFFF"/>
          <w:lang w:val="en-US"/>
        </w:rPr>
        <w:t xml:space="preserve"> </w:t>
      </w:r>
      <w:r w:rsidRPr="00395A52">
        <w:rPr>
          <w:rFonts w:eastAsia="Times New Roman" w:cs="Arial"/>
          <w:szCs w:val="20"/>
          <w:shd w:val="clear" w:color="auto" w:fill="FFFFFF"/>
          <w:lang w:val="en-US"/>
        </w:rPr>
        <w:t>Canberra ACT 2601</w:t>
      </w:r>
    </w:p>
    <w:p w:rsidR="00395A52" w:rsidRDefault="00395A52" w:rsidP="00395A52">
      <w:pPr>
        <w:keepNext/>
        <w:keepLines/>
        <w:spacing w:after="0"/>
        <w:outlineLvl w:val="0"/>
        <w:rPr>
          <w:rFonts w:eastAsia="Times New Roman" w:cs="Arial"/>
          <w:szCs w:val="20"/>
          <w:shd w:val="clear" w:color="auto" w:fill="FFFFFF"/>
          <w:lang w:val="en-US"/>
        </w:rPr>
      </w:pPr>
    </w:p>
    <w:p w:rsidR="00395A52" w:rsidRPr="00BC6212" w:rsidRDefault="00395A52" w:rsidP="00395A52">
      <w:pPr>
        <w:keepNext/>
        <w:keepLines/>
        <w:spacing w:after="0"/>
        <w:outlineLvl w:val="0"/>
        <w:rPr>
          <w:rFonts w:eastAsia="Times New Roman" w:cs="Arial"/>
          <w:szCs w:val="20"/>
          <w:shd w:val="clear" w:color="auto" w:fill="FFFFFF"/>
          <w:lang w:val="en-US"/>
        </w:rPr>
      </w:pPr>
      <w:r>
        <w:rPr>
          <w:rFonts w:eastAsia="Times New Roman" w:cs="Arial"/>
          <w:szCs w:val="20"/>
          <w:shd w:val="clear" w:color="auto" w:fill="FFFFFF"/>
          <w:lang w:val="en-US"/>
        </w:rPr>
        <w:t>Dear Jessica Ward</w:t>
      </w:r>
    </w:p>
    <w:p w:rsidR="00395A52" w:rsidRDefault="00395A52" w:rsidP="00395A52">
      <w:pPr>
        <w:spacing w:after="120" w:line="240" w:lineRule="exact"/>
      </w:pPr>
    </w:p>
    <w:p w:rsidR="00395A52" w:rsidRPr="00BC6212" w:rsidRDefault="00395A52" w:rsidP="00395A52">
      <w:pPr>
        <w:spacing w:after="120" w:line="240" w:lineRule="exact"/>
        <w:rPr>
          <w:rFonts w:eastAsia="Calibri" w:cs="Arial"/>
          <w:b/>
          <w:bCs/>
          <w:caps/>
          <w:lang w:val="en-US"/>
        </w:rPr>
      </w:pPr>
      <w:r w:rsidRPr="00BC6212">
        <w:rPr>
          <w:rFonts w:eastAsia="Calibri" w:cs="Arial"/>
          <w:b/>
          <w:bCs/>
          <w:caps/>
          <w:lang w:val="en-US"/>
        </w:rPr>
        <w:t xml:space="preserve">RE: </w:t>
      </w:r>
      <w:r>
        <w:rPr>
          <w:rFonts w:eastAsia="Calibri" w:cs="Arial"/>
          <w:b/>
          <w:bCs/>
          <w:caps/>
          <w:lang w:val="en-US"/>
        </w:rPr>
        <w:t xml:space="preserve">National Climate resilience and adaptation strategy </w:t>
      </w:r>
    </w:p>
    <w:p w:rsidR="00395A52" w:rsidRPr="00BC6212" w:rsidRDefault="00395A52" w:rsidP="00395A52">
      <w:pPr>
        <w:spacing w:after="120" w:line="257" w:lineRule="auto"/>
        <w:rPr>
          <w:rFonts w:eastAsia="Arial" w:cs="Arial"/>
          <w:szCs w:val="20"/>
          <w:lang w:val="en-US"/>
        </w:rPr>
      </w:pPr>
    </w:p>
    <w:p w:rsidR="00395A52" w:rsidRDefault="00395A52" w:rsidP="00395A52">
      <w:pPr>
        <w:spacing w:after="120" w:line="257" w:lineRule="auto"/>
        <w:rPr>
          <w:rFonts w:eastAsia="Arial" w:cs="Arial"/>
          <w:szCs w:val="20"/>
          <w:lang w:val="en-US"/>
        </w:rPr>
      </w:pPr>
      <w:r w:rsidRPr="00C12A4D">
        <w:rPr>
          <w:rFonts w:cs="Arial"/>
          <w:shd w:val="clear" w:color="auto" w:fill="FFFFFF"/>
        </w:rPr>
        <w:t>This submission is provided on behalf of the management of the City of Melbourne and is based on end</w:t>
      </w:r>
      <w:r>
        <w:rPr>
          <w:rFonts w:cs="Arial"/>
          <w:shd w:val="clear" w:color="auto" w:fill="FFFFFF"/>
        </w:rPr>
        <w:t>orsed Council policy. The City of Melbourne welcomes</w:t>
      </w:r>
      <w:r w:rsidRPr="00BC6212">
        <w:rPr>
          <w:rFonts w:eastAsia="Arial" w:cs="Arial"/>
          <w:szCs w:val="20"/>
          <w:lang w:val="en-US"/>
        </w:rPr>
        <w:t xml:space="preserve"> the opportunity to provide feedback on the </w:t>
      </w:r>
      <w:r>
        <w:rPr>
          <w:rFonts w:eastAsia="Arial" w:cs="Arial"/>
          <w:szCs w:val="20"/>
          <w:lang w:val="en-US"/>
        </w:rPr>
        <w:t>National Climate Resilience a</w:t>
      </w:r>
      <w:r w:rsidRPr="008B605D">
        <w:rPr>
          <w:rFonts w:eastAsia="Arial" w:cs="Arial"/>
          <w:szCs w:val="20"/>
          <w:lang w:val="en-US"/>
        </w:rPr>
        <w:t>nd Adaptation Strategy</w:t>
      </w:r>
      <w:r>
        <w:rPr>
          <w:rFonts w:eastAsia="Arial" w:cs="Arial"/>
          <w:szCs w:val="20"/>
          <w:lang w:val="en-US"/>
        </w:rPr>
        <w:t xml:space="preserve"> and</w:t>
      </w:r>
      <w:r w:rsidRPr="00BC6212">
        <w:rPr>
          <w:rFonts w:eastAsia="Arial" w:cs="Arial"/>
          <w:szCs w:val="20"/>
          <w:lang w:val="en-US"/>
        </w:rPr>
        <w:t xml:space="preserve"> commend the </w:t>
      </w:r>
      <w:r w:rsidRPr="004F34F0">
        <w:rPr>
          <w:rFonts w:eastAsia="Arial" w:cs="Arial"/>
          <w:szCs w:val="20"/>
          <w:lang w:val="en-US"/>
        </w:rPr>
        <w:t>Australian Government for its commitment to building a climate-resilient nation through the development of this strategy.</w:t>
      </w:r>
      <w:r w:rsidRPr="00BC6212">
        <w:rPr>
          <w:rFonts w:eastAsia="Arial" w:cs="Arial"/>
          <w:szCs w:val="20"/>
          <w:lang w:val="en-US"/>
        </w:rPr>
        <w:t xml:space="preserve"> </w:t>
      </w:r>
    </w:p>
    <w:p w:rsidR="00395A52" w:rsidRDefault="00395A52" w:rsidP="00395A52">
      <w:pPr>
        <w:spacing w:before="120" w:line="240" w:lineRule="auto"/>
        <w:rPr>
          <w:rFonts w:eastAsia="Arial" w:cs="Arial"/>
          <w:szCs w:val="20"/>
          <w:lang w:val="en-US"/>
        </w:rPr>
      </w:pPr>
      <w:r w:rsidRPr="00BC6212">
        <w:rPr>
          <w:rFonts w:eastAsia="Arial" w:cs="Arial"/>
          <w:szCs w:val="20"/>
        </w:rPr>
        <w:t xml:space="preserve">The </w:t>
      </w:r>
      <w:r>
        <w:rPr>
          <w:rFonts w:eastAsia="Arial" w:cs="Arial"/>
          <w:szCs w:val="20"/>
        </w:rPr>
        <w:t xml:space="preserve">City of Melbourne </w:t>
      </w:r>
      <w:r w:rsidRPr="00BC6212">
        <w:rPr>
          <w:rFonts w:eastAsia="Arial" w:cs="Arial"/>
          <w:szCs w:val="20"/>
        </w:rPr>
        <w:t>acknowledge</w:t>
      </w:r>
      <w:r>
        <w:rPr>
          <w:rFonts w:eastAsia="Arial" w:cs="Arial"/>
          <w:szCs w:val="20"/>
        </w:rPr>
        <w:t>s that</w:t>
      </w:r>
      <w:r w:rsidRPr="00BC6212">
        <w:rPr>
          <w:rFonts w:eastAsia="Arial" w:cs="Arial"/>
          <w:szCs w:val="20"/>
        </w:rPr>
        <w:t xml:space="preserve"> more needs to be done by all levels of government to accelerate climate action</w:t>
      </w:r>
      <w:r>
        <w:rPr>
          <w:rFonts w:eastAsia="Arial" w:cs="Arial"/>
          <w:szCs w:val="20"/>
        </w:rPr>
        <w:t xml:space="preserve">. </w:t>
      </w:r>
      <w:r w:rsidRPr="006E5EAB">
        <w:rPr>
          <w:rFonts w:eastAsia="Arial" w:cs="Arial"/>
          <w:szCs w:val="20"/>
          <w:lang w:val="en-US"/>
        </w:rPr>
        <w:t>Local government authorities look for clarity at a federal level around roles and responsibilities</w:t>
      </w:r>
      <w:r>
        <w:rPr>
          <w:rFonts w:eastAsia="Arial" w:cs="Arial"/>
          <w:szCs w:val="20"/>
          <w:lang w:val="en-US"/>
        </w:rPr>
        <w:t xml:space="preserve"> and commend the Australian Government for providing these definitions</w:t>
      </w:r>
      <w:r w:rsidRPr="006E5EAB">
        <w:rPr>
          <w:rFonts w:eastAsia="Arial" w:cs="Arial"/>
          <w:szCs w:val="20"/>
          <w:lang w:val="en-US"/>
        </w:rPr>
        <w:t>.</w:t>
      </w:r>
      <w:r>
        <w:rPr>
          <w:rFonts w:eastAsia="Arial" w:cs="Arial"/>
          <w:szCs w:val="20"/>
          <w:lang w:val="en-US"/>
        </w:rPr>
        <w:t xml:space="preserve"> The Victorian Government has provided clarity through the </w:t>
      </w:r>
      <w:r w:rsidRPr="007F13C4">
        <w:rPr>
          <w:rFonts w:eastAsia="Arial" w:cs="Arial"/>
          <w:i/>
          <w:szCs w:val="20"/>
          <w:lang w:val="en-US"/>
        </w:rPr>
        <w:t xml:space="preserve">Local Government Act 2020 </w:t>
      </w:r>
      <w:r>
        <w:rPr>
          <w:rFonts w:eastAsia="Arial" w:cs="Arial"/>
          <w:szCs w:val="20"/>
          <w:lang w:val="en-US"/>
        </w:rPr>
        <w:t xml:space="preserve">and the </w:t>
      </w:r>
      <w:r w:rsidRPr="00D43BA5">
        <w:rPr>
          <w:rFonts w:eastAsia="Arial" w:cs="Arial"/>
          <w:szCs w:val="20"/>
        </w:rPr>
        <w:t xml:space="preserve">Local Government Climate Change Adaptation Roles and Responsibilities </w:t>
      </w:r>
      <w:r>
        <w:rPr>
          <w:rFonts w:eastAsia="Arial" w:cs="Arial"/>
          <w:szCs w:val="20"/>
        </w:rPr>
        <w:t>under Victorian legislation</w:t>
      </w:r>
      <w:r>
        <w:rPr>
          <w:rFonts w:eastAsia="Arial" w:cs="Arial"/>
          <w:szCs w:val="20"/>
          <w:lang w:val="en-US"/>
        </w:rPr>
        <w:t xml:space="preserve">. </w:t>
      </w:r>
    </w:p>
    <w:p w:rsidR="00395A52" w:rsidRPr="002A25F0" w:rsidRDefault="00395A52" w:rsidP="00395A52">
      <w:pPr>
        <w:spacing w:before="120" w:line="240" w:lineRule="auto"/>
        <w:rPr>
          <w:rFonts w:eastAsiaTheme="minorHAnsi" w:cs="Arial"/>
          <w:szCs w:val="20"/>
          <w:lang w:val="en-US"/>
        </w:rPr>
      </w:pPr>
      <w:r>
        <w:rPr>
          <w:rFonts w:eastAsia="Arial" w:cs="Arial"/>
          <w:szCs w:val="20"/>
          <w:lang w:val="en-US"/>
        </w:rPr>
        <w:t>The City of Melbourne acknowledges that l</w:t>
      </w:r>
      <w:r w:rsidRPr="006E5EAB">
        <w:rPr>
          <w:rFonts w:eastAsia="Arial" w:cs="Arial"/>
          <w:szCs w:val="20"/>
          <w:lang w:val="en-US"/>
        </w:rPr>
        <w:t xml:space="preserve">ocal governments are at the heart of </w:t>
      </w:r>
      <w:r>
        <w:rPr>
          <w:rFonts w:eastAsia="Arial" w:cs="Arial"/>
          <w:szCs w:val="20"/>
          <w:lang w:val="en-US"/>
        </w:rPr>
        <w:t xml:space="preserve">climate </w:t>
      </w:r>
      <w:r w:rsidRPr="006E5EAB">
        <w:rPr>
          <w:rFonts w:eastAsia="Arial" w:cs="Arial"/>
          <w:szCs w:val="20"/>
          <w:lang w:val="en-US"/>
        </w:rPr>
        <w:t>adaptation action</w:t>
      </w:r>
      <w:r>
        <w:rPr>
          <w:rFonts w:eastAsia="Arial" w:cs="Arial"/>
          <w:szCs w:val="20"/>
          <w:lang w:val="en-US"/>
        </w:rPr>
        <w:t xml:space="preserve">. </w:t>
      </w:r>
      <w:r w:rsidRPr="00D43BA5">
        <w:rPr>
          <w:rFonts w:eastAsia="Arial" w:cs="Arial"/>
          <w:szCs w:val="20"/>
          <w:lang w:val="en-US"/>
        </w:rPr>
        <w:t>W</w:t>
      </w:r>
      <w:proofErr w:type="spellStart"/>
      <w:r w:rsidRPr="00D43BA5">
        <w:rPr>
          <w:rFonts w:eastAsiaTheme="minorHAnsi" w:cs="Arial"/>
          <w:szCs w:val="16"/>
        </w:rPr>
        <w:t>e</w:t>
      </w:r>
      <w:proofErr w:type="spellEnd"/>
      <w:r w:rsidRPr="00D43BA5">
        <w:rPr>
          <w:rFonts w:eastAsiaTheme="minorHAnsi" w:cs="Arial"/>
          <w:szCs w:val="16"/>
        </w:rPr>
        <w:t xml:space="preserve"> urge the Australian Government to increase its ambition to </w:t>
      </w:r>
      <w:r>
        <w:rPr>
          <w:rFonts w:eastAsiaTheme="minorHAnsi" w:cs="Arial"/>
          <w:szCs w:val="16"/>
        </w:rPr>
        <w:t xml:space="preserve">not only </w:t>
      </w:r>
      <w:r w:rsidRPr="00D43BA5">
        <w:rPr>
          <w:rFonts w:eastAsiaTheme="minorHAnsi" w:cs="Arial"/>
          <w:szCs w:val="16"/>
        </w:rPr>
        <w:t xml:space="preserve">address the impacts of </w:t>
      </w:r>
      <w:r w:rsidRPr="002A25F0">
        <w:rPr>
          <w:rFonts w:eastAsiaTheme="minorHAnsi" w:cs="Arial"/>
          <w:szCs w:val="20"/>
        </w:rPr>
        <w:t xml:space="preserve">climate change but to future proof the safety of citizens, assets and critical services, in partnership with all levels of government. </w:t>
      </w:r>
      <w:r w:rsidRPr="00E6662B">
        <w:rPr>
          <w:rFonts w:eastAsiaTheme="minorHAnsi" w:cs="Arial"/>
          <w:szCs w:val="20"/>
        </w:rPr>
        <w:t xml:space="preserve">Covid-19 has exposed the existing vulnerabilities experienced by </w:t>
      </w:r>
      <w:r w:rsidRPr="002A25F0">
        <w:rPr>
          <w:rFonts w:cs="Arial"/>
          <w:color w:val="212121"/>
          <w:szCs w:val="20"/>
          <w:shd w:val="clear" w:color="auto" w:fill="FFFFFF"/>
        </w:rPr>
        <w:t>historically disadvantaged groups, widening inequality. Strategically deployed relief efforts and longer-term policy reforms are needed to challenge the perennial and unequal impact of disasters</w:t>
      </w:r>
      <w:r>
        <w:rPr>
          <w:rFonts w:cs="Arial"/>
          <w:color w:val="212121"/>
          <w:szCs w:val="20"/>
          <w:shd w:val="clear" w:color="auto" w:fill="FFFFFF"/>
        </w:rPr>
        <w:t xml:space="preserve"> including extreme weather events as a result of climate change.</w:t>
      </w:r>
    </w:p>
    <w:p w:rsidR="00395A52" w:rsidRPr="006E5EAB" w:rsidRDefault="00395A52" w:rsidP="00395A52">
      <w:pPr>
        <w:spacing w:after="120" w:line="257" w:lineRule="auto"/>
        <w:rPr>
          <w:rFonts w:eastAsia="Arial" w:cs="Arial"/>
          <w:szCs w:val="20"/>
          <w:lang w:val="en-US"/>
        </w:rPr>
      </w:pPr>
      <w:r w:rsidRPr="006E5EAB">
        <w:rPr>
          <w:rFonts w:eastAsia="Arial" w:cs="Arial"/>
          <w:szCs w:val="20"/>
          <w:lang w:val="en-US"/>
        </w:rPr>
        <w:t xml:space="preserve">Our key recommendations </w:t>
      </w:r>
      <w:r>
        <w:rPr>
          <w:rFonts w:eastAsia="Arial" w:cs="Arial"/>
          <w:szCs w:val="20"/>
          <w:lang w:val="en-US"/>
        </w:rPr>
        <w:t xml:space="preserve">to strengthen the ambition of this strategy </w:t>
      </w:r>
      <w:r w:rsidRPr="006E5EAB">
        <w:rPr>
          <w:rFonts w:eastAsia="Arial" w:cs="Arial"/>
          <w:szCs w:val="20"/>
          <w:lang w:val="en-US"/>
        </w:rPr>
        <w:t>are:</w:t>
      </w:r>
    </w:p>
    <w:p w:rsidR="00395A52" w:rsidRPr="00342C40" w:rsidRDefault="00395A52" w:rsidP="00395A52">
      <w:pPr>
        <w:pStyle w:val="ListParagraph"/>
        <w:numPr>
          <w:ilvl w:val="0"/>
          <w:numId w:val="17"/>
        </w:numPr>
        <w:spacing w:line="257" w:lineRule="auto"/>
        <w:contextualSpacing/>
        <w:rPr>
          <w:rFonts w:eastAsia="Arial" w:cs="Arial"/>
          <w:szCs w:val="20"/>
        </w:rPr>
      </w:pPr>
      <w:r w:rsidRPr="0030656F">
        <w:rPr>
          <w:rFonts w:eastAsia="Arial" w:cs="Arial"/>
          <w:b/>
          <w:color w:val="365F91" w:themeColor="accent1" w:themeShade="BF"/>
          <w:szCs w:val="20"/>
        </w:rPr>
        <w:t>Formally incorporate climate risks in all decisions and policy-making</w:t>
      </w:r>
      <w:r>
        <w:rPr>
          <w:rFonts w:eastAsia="Arial" w:cs="Arial"/>
          <w:b/>
          <w:color w:val="365F91" w:themeColor="accent1" w:themeShade="BF"/>
          <w:szCs w:val="20"/>
        </w:rPr>
        <w:t xml:space="preserve"> </w:t>
      </w:r>
      <w:r>
        <w:rPr>
          <w:rFonts w:eastAsia="Arial" w:cs="Arial"/>
          <w:szCs w:val="20"/>
        </w:rPr>
        <w:t xml:space="preserve">- this includes mandating the consideration of climate risk </w:t>
      </w:r>
      <w:r w:rsidRPr="006E5EAB">
        <w:rPr>
          <w:rFonts w:eastAsia="Arial" w:cs="Arial"/>
          <w:szCs w:val="20"/>
        </w:rPr>
        <w:t>in</w:t>
      </w:r>
      <w:r>
        <w:rPr>
          <w:rFonts w:eastAsia="Arial" w:cs="Arial"/>
          <w:szCs w:val="20"/>
        </w:rPr>
        <w:t xml:space="preserve"> Federal Government</w:t>
      </w:r>
      <w:r w:rsidRPr="006E5EAB">
        <w:rPr>
          <w:rFonts w:eastAsia="Arial" w:cs="Arial"/>
          <w:szCs w:val="20"/>
        </w:rPr>
        <w:t xml:space="preserve"> business cas</w:t>
      </w:r>
      <w:r>
        <w:rPr>
          <w:rFonts w:eastAsia="Arial" w:cs="Arial"/>
          <w:szCs w:val="20"/>
        </w:rPr>
        <w:t>es and construction</w:t>
      </w:r>
      <w:r w:rsidRPr="00342C40">
        <w:rPr>
          <w:rFonts w:eastAsia="Arial" w:cs="Arial"/>
          <w:szCs w:val="20"/>
        </w:rPr>
        <w:t xml:space="preserve"> </w:t>
      </w:r>
      <w:r>
        <w:rPr>
          <w:rFonts w:eastAsia="Arial" w:cs="Arial"/>
          <w:szCs w:val="20"/>
        </w:rPr>
        <w:t>c</w:t>
      </w:r>
      <w:r w:rsidRPr="00342C40">
        <w:rPr>
          <w:rFonts w:eastAsia="Arial" w:cs="Arial"/>
          <w:szCs w:val="20"/>
        </w:rPr>
        <w:t>ode</w:t>
      </w:r>
      <w:r>
        <w:rPr>
          <w:rFonts w:eastAsia="Arial" w:cs="Arial"/>
          <w:szCs w:val="20"/>
        </w:rPr>
        <w:t>s.</w:t>
      </w:r>
    </w:p>
    <w:p w:rsidR="00395A52" w:rsidRPr="00F20382" w:rsidRDefault="00395A52" w:rsidP="00395A52">
      <w:pPr>
        <w:pStyle w:val="ListParagraph"/>
        <w:numPr>
          <w:ilvl w:val="0"/>
          <w:numId w:val="17"/>
        </w:numPr>
        <w:spacing w:line="257" w:lineRule="auto"/>
        <w:contextualSpacing/>
        <w:rPr>
          <w:rFonts w:eastAsia="Arial" w:cs="Arial"/>
          <w:szCs w:val="20"/>
        </w:rPr>
      </w:pPr>
      <w:r>
        <w:rPr>
          <w:rFonts w:eastAsia="Arial" w:cs="Arial"/>
          <w:b/>
          <w:color w:val="365F91" w:themeColor="accent1" w:themeShade="BF"/>
          <w:szCs w:val="20"/>
        </w:rPr>
        <w:t>Lead from the front -</w:t>
      </w:r>
      <w:r w:rsidRPr="006E5EAB">
        <w:rPr>
          <w:rFonts w:eastAsia="Arial" w:cs="Arial"/>
          <w:szCs w:val="20"/>
        </w:rPr>
        <w:t xml:space="preserve"> by ensuring all </w:t>
      </w:r>
      <w:r>
        <w:rPr>
          <w:rFonts w:eastAsia="Arial" w:cs="Arial"/>
          <w:szCs w:val="20"/>
        </w:rPr>
        <w:t>new Government owned and funded assets and infrastructure are</w:t>
      </w:r>
      <w:r w:rsidRPr="006E5EAB">
        <w:rPr>
          <w:rFonts w:eastAsia="Arial" w:cs="Arial"/>
          <w:szCs w:val="20"/>
        </w:rPr>
        <w:t xml:space="preserve"> adapting to the impacts of climate change</w:t>
      </w:r>
      <w:r>
        <w:rPr>
          <w:rFonts w:eastAsia="Arial" w:cs="Arial"/>
          <w:szCs w:val="20"/>
        </w:rPr>
        <w:t>.</w:t>
      </w:r>
    </w:p>
    <w:p w:rsidR="00395A52" w:rsidRPr="004035CD" w:rsidRDefault="00395A52" w:rsidP="00395A52">
      <w:pPr>
        <w:pStyle w:val="ListParagraph"/>
        <w:numPr>
          <w:ilvl w:val="0"/>
          <w:numId w:val="17"/>
        </w:numPr>
        <w:spacing w:line="257" w:lineRule="auto"/>
        <w:contextualSpacing/>
        <w:rPr>
          <w:rFonts w:eastAsia="Arial" w:cs="Arial"/>
          <w:szCs w:val="20"/>
        </w:rPr>
      </w:pPr>
      <w:r w:rsidRPr="00F20382">
        <w:rPr>
          <w:rFonts w:eastAsia="Arial" w:cs="Arial"/>
          <w:b/>
          <w:color w:val="365F91" w:themeColor="accent1" w:themeShade="BF"/>
          <w:szCs w:val="20"/>
        </w:rPr>
        <w:t>Provide direct financial support to local government</w:t>
      </w:r>
      <w:r w:rsidRPr="00F20382">
        <w:rPr>
          <w:rFonts w:eastAsia="Arial" w:cs="Arial"/>
          <w:color w:val="365F91" w:themeColor="accent1" w:themeShade="BF"/>
          <w:szCs w:val="20"/>
        </w:rPr>
        <w:t xml:space="preserve"> </w:t>
      </w:r>
      <w:r>
        <w:rPr>
          <w:rFonts w:eastAsia="Arial" w:cs="Arial"/>
          <w:szCs w:val="20"/>
        </w:rPr>
        <w:t xml:space="preserve">- </w:t>
      </w:r>
      <w:r w:rsidRPr="006E5EAB">
        <w:rPr>
          <w:rFonts w:eastAsia="Arial" w:cs="Arial"/>
          <w:szCs w:val="20"/>
        </w:rPr>
        <w:t>to prepare, prevent, respond and recover from detrimental climatic impacts</w:t>
      </w:r>
      <w:r>
        <w:rPr>
          <w:rFonts w:eastAsia="Arial" w:cs="Arial"/>
          <w:szCs w:val="20"/>
        </w:rPr>
        <w:t>.</w:t>
      </w:r>
      <w:r w:rsidRPr="006E5EAB">
        <w:rPr>
          <w:rFonts w:eastAsia="Arial" w:cs="Arial"/>
          <w:szCs w:val="20"/>
        </w:rPr>
        <w:t xml:space="preserve"> </w:t>
      </w:r>
    </w:p>
    <w:p w:rsidR="00395A52" w:rsidRDefault="00395A52" w:rsidP="00395A52">
      <w:pPr>
        <w:pStyle w:val="ListParagraph"/>
        <w:numPr>
          <w:ilvl w:val="0"/>
          <w:numId w:val="17"/>
        </w:numPr>
        <w:spacing w:line="257" w:lineRule="auto"/>
        <w:contextualSpacing/>
        <w:rPr>
          <w:rFonts w:eastAsia="Arial" w:cs="Arial"/>
          <w:szCs w:val="20"/>
        </w:rPr>
      </w:pPr>
      <w:proofErr w:type="spellStart"/>
      <w:r w:rsidRPr="00F20382">
        <w:rPr>
          <w:rFonts w:eastAsia="Arial" w:cs="Arial"/>
          <w:b/>
          <w:color w:val="365F91" w:themeColor="accent1" w:themeShade="BF"/>
          <w:szCs w:val="20"/>
        </w:rPr>
        <w:t>Prioritise</w:t>
      </w:r>
      <w:proofErr w:type="spellEnd"/>
      <w:r w:rsidRPr="00F20382">
        <w:rPr>
          <w:rFonts w:eastAsia="Arial" w:cs="Arial"/>
          <w:b/>
          <w:color w:val="365F91" w:themeColor="accent1" w:themeShade="BF"/>
          <w:szCs w:val="20"/>
        </w:rPr>
        <w:t xml:space="preserve"> the rapid implementation of </w:t>
      </w:r>
      <w:r w:rsidRPr="0022717F">
        <w:rPr>
          <w:rFonts w:eastAsia="Arial" w:cs="Arial"/>
          <w:b/>
          <w:color w:val="365F91" w:themeColor="accent1" w:themeShade="BF"/>
          <w:szCs w:val="20"/>
        </w:rPr>
        <w:t>recommendations made in the National Natural Disaster Arrangements Royal Commission</w:t>
      </w:r>
      <w:r w:rsidRPr="0022717F">
        <w:rPr>
          <w:rFonts w:eastAsia="Arial" w:cs="Arial"/>
          <w:szCs w:val="20"/>
        </w:rPr>
        <w:t xml:space="preserve"> </w:t>
      </w:r>
      <w:r w:rsidRPr="0022717F">
        <w:rPr>
          <w:rFonts w:eastAsia="Arial" w:cs="Arial"/>
          <w:b/>
          <w:color w:val="365F91" w:themeColor="accent1" w:themeShade="BF"/>
          <w:szCs w:val="20"/>
        </w:rPr>
        <w:t>and 2021 Australian Infrastructure Plan</w:t>
      </w:r>
      <w:r w:rsidRPr="0022717F">
        <w:rPr>
          <w:rFonts w:eastAsia="Arial" w:cs="Arial"/>
          <w:szCs w:val="20"/>
        </w:rPr>
        <w:t>- this</w:t>
      </w:r>
      <w:r>
        <w:rPr>
          <w:rFonts w:eastAsia="Arial" w:cs="Arial"/>
          <w:szCs w:val="20"/>
        </w:rPr>
        <w:t xml:space="preserve"> </w:t>
      </w:r>
      <w:r w:rsidRPr="006E5EAB">
        <w:rPr>
          <w:rFonts w:eastAsia="Arial" w:cs="Arial"/>
          <w:szCs w:val="20"/>
        </w:rPr>
        <w:t>includ</w:t>
      </w:r>
      <w:r>
        <w:rPr>
          <w:rFonts w:eastAsia="Arial" w:cs="Arial"/>
          <w:szCs w:val="20"/>
        </w:rPr>
        <w:t>es</w:t>
      </w:r>
      <w:r w:rsidRPr="006E5EAB">
        <w:rPr>
          <w:rFonts w:eastAsia="Arial" w:cs="Arial"/>
          <w:szCs w:val="20"/>
        </w:rPr>
        <w:t xml:space="preserve"> taking a lead role on mapping and acting on critical system interdependencies vulnerabilities</w:t>
      </w:r>
      <w:r>
        <w:rPr>
          <w:rFonts w:eastAsia="Arial" w:cs="Arial"/>
          <w:szCs w:val="20"/>
        </w:rPr>
        <w:t>.</w:t>
      </w:r>
    </w:p>
    <w:p w:rsidR="00395A52" w:rsidRPr="00E6662B" w:rsidRDefault="00395A52" w:rsidP="00395A52">
      <w:pPr>
        <w:pStyle w:val="ListParagraph"/>
        <w:numPr>
          <w:ilvl w:val="0"/>
          <w:numId w:val="17"/>
        </w:numPr>
        <w:spacing w:line="257" w:lineRule="auto"/>
        <w:contextualSpacing/>
        <w:rPr>
          <w:rFonts w:eastAsia="Arial" w:cs="Arial"/>
          <w:szCs w:val="20"/>
        </w:rPr>
      </w:pPr>
      <w:r>
        <w:rPr>
          <w:rFonts w:eastAsia="Arial" w:cs="Arial"/>
          <w:b/>
          <w:color w:val="365F91" w:themeColor="accent1" w:themeShade="BF"/>
          <w:szCs w:val="20"/>
        </w:rPr>
        <w:t xml:space="preserve">Accelerate implementation of UN Sustainable Development Goals </w:t>
      </w:r>
      <w:r>
        <w:rPr>
          <w:rFonts w:eastAsia="Arial" w:cs="Arial"/>
          <w:szCs w:val="20"/>
        </w:rPr>
        <w:t xml:space="preserve">– given that climate change is a risk amplifier across society, we encourage the Federal government to accelerate leadership and implementation of the UN SDGs in achieving targets </w:t>
      </w:r>
      <w:r w:rsidRPr="002A25F0">
        <w:rPr>
          <w:rFonts w:eastAsia="Arial" w:cs="Arial"/>
          <w:szCs w:val="20"/>
        </w:rPr>
        <w:t xml:space="preserve">towards </w:t>
      </w:r>
      <w:r w:rsidRPr="002A25F0">
        <w:rPr>
          <w:szCs w:val="20"/>
        </w:rPr>
        <w:t>Agenda 2030.</w:t>
      </w:r>
    </w:p>
    <w:p w:rsidR="00395A52" w:rsidRPr="00342C40" w:rsidRDefault="00395A52" w:rsidP="00395A52">
      <w:pPr>
        <w:pStyle w:val="ListParagraph"/>
        <w:numPr>
          <w:ilvl w:val="0"/>
          <w:numId w:val="17"/>
        </w:numPr>
        <w:spacing w:line="257" w:lineRule="auto"/>
        <w:contextualSpacing/>
        <w:rPr>
          <w:rFonts w:eastAsia="Arial" w:cs="Arial"/>
          <w:szCs w:val="20"/>
        </w:rPr>
      </w:pPr>
      <w:r>
        <w:rPr>
          <w:rFonts w:eastAsia="Arial" w:cs="Arial"/>
          <w:b/>
          <w:color w:val="365F91" w:themeColor="accent1" w:themeShade="BF"/>
          <w:szCs w:val="20"/>
        </w:rPr>
        <w:t xml:space="preserve">Address issues of social inequality of climate risk </w:t>
      </w:r>
      <w:r w:rsidRPr="00E6662B">
        <w:rPr>
          <w:rFonts w:eastAsia="Arial" w:cs="Arial"/>
          <w:color w:val="365F91" w:themeColor="accent1" w:themeShade="BF"/>
          <w:szCs w:val="20"/>
        </w:rPr>
        <w:t xml:space="preserve">– </w:t>
      </w:r>
      <w:r w:rsidRPr="0028197D">
        <w:rPr>
          <w:rFonts w:eastAsia="Arial" w:cs="Arial"/>
          <w:szCs w:val="20"/>
        </w:rPr>
        <w:t>by investing in</w:t>
      </w:r>
      <w:r w:rsidRPr="0028197D">
        <w:rPr>
          <w:rFonts w:eastAsia="Arial" w:cs="Arial"/>
          <w:b/>
          <w:szCs w:val="20"/>
        </w:rPr>
        <w:t xml:space="preserve"> </w:t>
      </w:r>
      <w:r w:rsidRPr="0028197D">
        <w:rPr>
          <w:rFonts w:eastAsia="Arial" w:cs="Arial"/>
          <w:szCs w:val="20"/>
        </w:rPr>
        <w:t xml:space="preserve">an inclusive and </w:t>
      </w:r>
      <w:r w:rsidRPr="0028197D">
        <w:rPr>
          <w:rFonts w:cs="Arial"/>
          <w:szCs w:val="20"/>
        </w:rPr>
        <w:t>we</w:t>
      </w:r>
      <w:r>
        <w:rPr>
          <w:rFonts w:cs="Arial"/>
          <w:color w:val="000000"/>
          <w:szCs w:val="20"/>
        </w:rPr>
        <w:t>ll-targeted social safety net, where “no one is left behind”.</w:t>
      </w:r>
    </w:p>
    <w:p w:rsidR="00395A52" w:rsidRDefault="00395A52" w:rsidP="00395A52">
      <w:pPr>
        <w:spacing w:after="120" w:line="257" w:lineRule="auto"/>
        <w:rPr>
          <w:rFonts w:eastAsia="Arial" w:cs="Arial"/>
          <w:szCs w:val="20"/>
          <w:lang w:val="en-US"/>
        </w:rPr>
      </w:pPr>
    </w:p>
    <w:p w:rsidR="00395A52" w:rsidRPr="004F34F0" w:rsidRDefault="00395A52" w:rsidP="00395A52">
      <w:pPr>
        <w:spacing w:after="120" w:line="257" w:lineRule="auto"/>
        <w:rPr>
          <w:rFonts w:eastAsia="Arial" w:cs="Arial"/>
          <w:szCs w:val="20"/>
          <w:lang w:val="en-US"/>
        </w:rPr>
      </w:pPr>
      <w:r w:rsidRPr="004F34F0">
        <w:rPr>
          <w:rFonts w:eastAsia="Arial" w:cs="Arial"/>
          <w:szCs w:val="20"/>
          <w:lang w:val="en-US"/>
        </w:rPr>
        <w:t xml:space="preserve">The City of Melbourne’s </w:t>
      </w:r>
      <w:hyperlink r:id="rId9" w:history="1">
        <w:r w:rsidRPr="00803345">
          <w:rPr>
            <w:rStyle w:val="Hyperlink"/>
            <w:rFonts w:cs="Arial"/>
            <w:shd w:val="clear" w:color="auto" w:fill="FFFFFF"/>
          </w:rPr>
          <w:t>Response to the Climate and Biodiversity Emergency 2020</w:t>
        </w:r>
      </w:hyperlink>
      <w:r>
        <w:rPr>
          <w:rFonts w:eastAsia="Arial" w:cs="Arial"/>
          <w:szCs w:val="20"/>
          <w:lang w:val="en-US"/>
        </w:rPr>
        <w:t xml:space="preserve"> </w:t>
      </w:r>
      <w:hyperlink r:id="rId10" w:anchor="_edn1"/>
      <w:r w:rsidRPr="004F34F0">
        <w:rPr>
          <w:rFonts w:eastAsia="Arial" w:cs="Arial"/>
          <w:szCs w:val="20"/>
          <w:lang w:val="en-US"/>
        </w:rPr>
        <w:t>outline</w:t>
      </w:r>
      <w:r>
        <w:rPr>
          <w:rFonts w:eastAsia="Arial" w:cs="Arial"/>
          <w:szCs w:val="20"/>
          <w:lang w:val="en-US"/>
        </w:rPr>
        <w:t>s</w:t>
      </w:r>
      <w:r w:rsidRPr="004F34F0">
        <w:rPr>
          <w:rFonts w:eastAsia="Arial" w:cs="Arial"/>
          <w:szCs w:val="20"/>
          <w:lang w:val="en-US"/>
        </w:rPr>
        <w:t xml:space="preserve"> the </w:t>
      </w:r>
      <w:proofErr w:type="spellStart"/>
      <w:r w:rsidRPr="004F34F0">
        <w:rPr>
          <w:rFonts w:eastAsia="Arial" w:cs="Arial"/>
          <w:szCs w:val="20"/>
          <w:lang w:val="en-US"/>
        </w:rPr>
        <w:t>organisation’s</w:t>
      </w:r>
      <w:proofErr w:type="spellEnd"/>
      <w:r w:rsidRPr="004F34F0">
        <w:rPr>
          <w:rFonts w:eastAsia="Arial" w:cs="Arial"/>
          <w:szCs w:val="20"/>
          <w:lang w:val="en-US"/>
        </w:rPr>
        <w:t xml:space="preserve"> priorities for achieving zero net emissions by 2040 and adapting our city to the impacts of climate change. </w:t>
      </w:r>
      <w:r>
        <w:rPr>
          <w:rFonts w:eastAsia="Arial" w:cs="Arial"/>
          <w:szCs w:val="20"/>
          <w:lang w:val="en-US"/>
        </w:rPr>
        <w:t xml:space="preserve"> </w:t>
      </w:r>
      <w:r>
        <w:rPr>
          <w:rFonts w:eastAsia="Arial" w:cs="Arial"/>
          <w:szCs w:val="20"/>
        </w:rPr>
        <w:t xml:space="preserve">In recognition of the serious risk </w:t>
      </w:r>
      <w:r w:rsidRPr="00BC6212">
        <w:rPr>
          <w:rFonts w:eastAsia="Arial" w:cs="Arial"/>
          <w:szCs w:val="20"/>
        </w:rPr>
        <w:t>to the people of Melbourne</w:t>
      </w:r>
      <w:r>
        <w:rPr>
          <w:rFonts w:eastAsia="Arial" w:cs="Arial"/>
          <w:szCs w:val="20"/>
        </w:rPr>
        <w:t xml:space="preserve"> the Response c</w:t>
      </w:r>
      <w:r w:rsidRPr="006D3BCB">
        <w:rPr>
          <w:rFonts w:eastAsia="Times New Roman" w:cs="Arial"/>
          <w:szCs w:val="20"/>
        </w:rPr>
        <w:t>ommits</w:t>
      </w:r>
      <w:r>
        <w:rPr>
          <w:rFonts w:eastAsia="Times New Roman" w:cs="Arial"/>
          <w:szCs w:val="20"/>
        </w:rPr>
        <w:t xml:space="preserve"> </w:t>
      </w:r>
      <w:r w:rsidRPr="006D3BCB">
        <w:rPr>
          <w:rFonts w:eastAsia="Times New Roman" w:cs="Arial"/>
          <w:szCs w:val="20"/>
        </w:rPr>
        <w:t xml:space="preserve">to adapting </w:t>
      </w:r>
      <w:r>
        <w:rPr>
          <w:rFonts w:eastAsia="Times New Roman" w:cs="Arial"/>
          <w:szCs w:val="20"/>
        </w:rPr>
        <w:t xml:space="preserve">the </w:t>
      </w:r>
      <w:r w:rsidRPr="006D3BCB">
        <w:rPr>
          <w:rFonts w:eastAsia="Times New Roman" w:cs="Arial"/>
          <w:szCs w:val="20"/>
        </w:rPr>
        <w:t>city to the impacts</w:t>
      </w:r>
      <w:r>
        <w:rPr>
          <w:rFonts w:eastAsia="Times New Roman" w:cs="Arial"/>
          <w:szCs w:val="20"/>
        </w:rPr>
        <w:t xml:space="preserve"> of climate change</w:t>
      </w:r>
      <w:r w:rsidRPr="006D3BCB">
        <w:rPr>
          <w:rFonts w:eastAsia="Times New Roman" w:cs="Arial"/>
          <w:szCs w:val="20"/>
        </w:rPr>
        <w:t xml:space="preserve">, which includes investing in ecosystem based urban forests, </w:t>
      </w:r>
      <w:r>
        <w:rPr>
          <w:rFonts w:eastAsia="Times New Roman" w:cs="Arial"/>
          <w:szCs w:val="20"/>
        </w:rPr>
        <w:t xml:space="preserve">Integrated Water Management, </w:t>
      </w:r>
      <w:r w:rsidRPr="006D3BCB">
        <w:rPr>
          <w:rFonts w:eastAsia="Times New Roman" w:cs="Arial"/>
          <w:szCs w:val="20"/>
        </w:rPr>
        <w:t>green buildings, waste innovation and better pedestrian and cycling infrastructure</w:t>
      </w:r>
      <w:r>
        <w:rPr>
          <w:rFonts w:eastAsia="Times New Roman" w:cs="Arial"/>
          <w:szCs w:val="20"/>
        </w:rPr>
        <w:t xml:space="preserve">. </w:t>
      </w:r>
    </w:p>
    <w:p w:rsidR="00395A52" w:rsidRPr="007F13C4" w:rsidRDefault="00395A52" w:rsidP="00395A52">
      <w:pPr>
        <w:spacing w:after="120" w:line="257" w:lineRule="auto"/>
        <w:rPr>
          <w:rFonts w:eastAsia="Arial" w:cs="Arial"/>
          <w:szCs w:val="20"/>
          <w:lang w:val="en-US"/>
        </w:rPr>
      </w:pPr>
      <w:r>
        <w:rPr>
          <w:rFonts w:eastAsia="Arial" w:cs="Arial"/>
          <w:szCs w:val="20"/>
          <w:lang w:val="en-US"/>
        </w:rPr>
        <w:t>The City of Melbourne has</w:t>
      </w:r>
      <w:r w:rsidRPr="007F13C4">
        <w:rPr>
          <w:rFonts w:eastAsia="Arial" w:cs="Arial"/>
          <w:szCs w:val="20"/>
          <w:lang w:val="en-US"/>
        </w:rPr>
        <w:t xml:space="preserve"> </w:t>
      </w:r>
      <w:r>
        <w:rPr>
          <w:rFonts w:eastAsia="Arial" w:cs="Arial"/>
          <w:szCs w:val="20"/>
          <w:lang w:val="en-US"/>
        </w:rPr>
        <w:t>recognized and responded to</w:t>
      </w:r>
      <w:r w:rsidRPr="007F13C4">
        <w:rPr>
          <w:rFonts w:eastAsia="Arial" w:cs="Arial"/>
          <w:szCs w:val="20"/>
          <w:lang w:val="en-US"/>
        </w:rPr>
        <w:t xml:space="preserve"> the risks associated with climate change in since 2009. The journey around managing our climate risk has matured </w:t>
      </w:r>
      <w:r>
        <w:rPr>
          <w:rFonts w:eastAsia="Arial" w:cs="Arial"/>
          <w:szCs w:val="20"/>
          <w:lang w:val="en-US"/>
        </w:rPr>
        <w:t>over</w:t>
      </w:r>
      <w:r w:rsidRPr="007F13C4">
        <w:rPr>
          <w:rFonts w:eastAsia="Arial" w:cs="Arial"/>
          <w:szCs w:val="20"/>
          <w:lang w:val="en-US"/>
        </w:rPr>
        <w:t xml:space="preserve"> time and we now consider </w:t>
      </w:r>
      <w:r>
        <w:rPr>
          <w:rFonts w:eastAsia="Arial" w:cs="Arial"/>
          <w:szCs w:val="20"/>
          <w:lang w:val="en-US"/>
        </w:rPr>
        <w:t>“</w:t>
      </w:r>
      <w:r w:rsidRPr="007F13C4">
        <w:rPr>
          <w:rFonts w:eastAsia="Arial" w:cs="Arial"/>
          <w:szCs w:val="20"/>
          <w:lang w:val="en-US"/>
        </w:rPr>
        <w:t>fail</w:t>
      </w:r>
      <w:r>
        <w:rPr>
          <w:rFonts w:eastAsia="Arial" w:cs="Arial"/>
          <w:szCs w:val="20"/>
          <w:lang w:val="en-US"/>
        </w:rPr>
        <w:t>ing</w:t>
      </w:r>
      <w:r w:rsidRPr="007F13C4">
        <w:rPr>
          <w:rFonts w:eastAsia="Arial" w:cs="Arial"/>
          <w:szCs w:val="20"/>
          <w:lang w:val="en-US"/>
        </w:rPr>
        <w:t xml:space="preserve"> to take appropriate and timely action on the changing climate and extreme weather events</w:t>
      </w:r>
      <w:r>
        <w:rPr>
          <w:rFonts w:eastAsia="Arial" w:cs="Arial"/>
          <w:szCs w:val="20"/>
          <w:lang w:val="en-US"/>
        </w:rPr>
        <w:t>”</w:t>
      </w:r>
      <w:r w:rsidRPr="007F13C4">
        <w:rPr>
          <w:rFonts w:eastAsia="Arial" w:cs="Arial"/>
          <w:szCs w:val="20"/>
          <w:lang w:val="en-US"/>
        </w:rPr>
        <w:t xml:space="preserve"> as</w:t>
      </w:r>
      <w:r>
        <w:rPr>
          <w:rFonts w:eastAsia="Arial" w:cs="Arial"/>
          <w:szCs w:val="20"/>
          <w:lang w:val="en-US"/>
        </w:rPr>
        <w:t xml:space="preserve"> a key strategic risk.  To manage this risk the</w:t>
      </w:r>
      <w:r w:rsidRPr="007F13C4">
        <w:rPr>
          <w:rFonts w:eastAsia="Arial" w:cs="Arial"/>
          <w:szCs w:val="20"/>
          <w:lang w:val="en-US"/>
        </w:rPr>
        <w:t xml:space="preserve"> </w:t>
      </w:r>
      <w:r>
        <w:rPr>
          <w:rFonts w:eastAsia="Arial" w:cs="Arial"/>
          <w:szCs w:val="20"/>
          <w:lang w:val="en-US"/>
        </w:rPr>
        <w:t>City of Melbourne seeks to partner with all levels of government</w:t>
      </w:r>
      <w:r w:rsidRPr="007F13C4">
        <w:rPr>
          <w:rFonts w:eastAsia="Arial" w:cs="Arial"/>
          <w:szCs w:val="20"/>
          <w:lang w:val="en-US"/>
        </w:rPr>
        <w:t xml:space="preserve"> to appropriately coordinate responses</w:t>
      </w:r>
      <w:r>
        <w:rPr>
          <w:rFonts w:eastAsia="Arial" w:cs="Arial"/>
          <w:szCs w:val="20"/>
          <w:lang w:val="en-US"/>
        </w:rPr>
        <w:t xml:space="preserve"> and allocate shared responsibility</w:t>
      </w:r>
      <w:r w:rsidRPr="007F13C4">
        <w:rPr>
          <w:rFonts w:eastAsia="Arial" w:cs="Arial"/>
          <w:szCs w:val="20"/>
          <w:lang w:val="en-US"/>
        </w:rPr>
        <w:t xml:space="preserve"> to climate change risks and impacts</w:t>
      </w:r>
      <w:r>
        <w:rPr>
          <w:rFonts w:eastAsia="Arial" w:cs="Arial"/>
          <w:szCs w:val="20"/>
          <w:lang w:val="en-US"/>
        </w:rPr>
        <w:t xml:space="preserve">. This co-ordination is a key area that requires future investment. </w:t>
      </w:r>
      <w:r w:rsidRPr="007F13C4">
        <w:rPr>
          <w:rFonts w:eastAsia="Arial" w:cs="Arial"/>
          <w:szCs w:val="20"/>
          <w:lang w:val="en-US"/>
        </w:rPr>
        <w:t xml:space="preserve"> </w:t>
      </w:r>
    </w:p>
    <w:p w:rsidR="00395A52" w:rsidRPr="00BC6212" w:rsidRDefault="00395A52" w:rsidP="00395A52">
      <w:pPr>
        <w:spacing w:after="120" w:line="257" w:lineRule="auto"/>
        <w:rPr>
          <w:rFonts w:eastAsia="Arial" w:cs="Arial"/>
          <w:szCs w:val="20"/>
          <w:lang w:val="en-US"/>
        </w:rPr>
      </w:pPr>
      <w:r w:rsidRPr="00BC6212">
        <w:rPr>
          <w:rFonts w:eastAsia="Arial" w:cs="Arial"/>
          <w:szCs w:val="20"/>
          <w:lang w:val="en-US"/>
        </w:rPr>
        <w:lastRenderedPageBreak/>
        <w:t xml:space="preserve">If you would like to further discuss any aspect of this submission, please contact Vicki Barmby, Manager Climate Adapted and Water Sensitive City at </w:t>
      </w:r>
      <w:hyperlink r:id="rId11" w:history="1">
        <w:r w:rsidRPr="00BC6212">
          <w:rPr>
            <w:rFonts w:eastAsia="Arial" w:cs="Arial"/>
            <w:szCs w:val="20"/>
            <w:u w:val="single"/>
            <w:lang w:val="en-US"/>
          </w:rPr>
          <w:t>vicki.barmby@melbourne.vic.gov.au</w:t>
        </w:r>
      </w:hyperlink>
      <w:r w:rsidRPr="00BC6212">
        <w:rPr>
          <w:rFonts w:eastAsia="Arial" w:cs="Arial"/>
          <w:szCs w:val="20"/>
          <w:lang w:val="en-US"/>
        </w:rPr>
        <w:t xml:space="preserve"> </w:t>
      </w:r>
    </w:p>
    <w:p w:rsidR="00395A52" w:rsidRPr="00BC6212" w:rsidRDefault="00395A52" w:rsidP="00395A52">
      <w:pPr>
        <w:spacing w:after="120" w:line="257" w:lineRule="auto"/>
        <w:rPr>
          <w:rFonts w:eastAsia="Arial" w:cs="Arial"/>
          <w:szCs w:val="20"/>
          <w:lang w:val="en-US"/>
        </w:rPr>
      </w:pPr>
      <w:r w:rsidRPr="00BC6212">
        <w:rPr>
          <w:rFonts w:eastAsia="Arial" w:cs="Arial"/>
          <w:szCs w:val="20"/>
          <w:lang w:val="en-US"/>
        </w:rPr>
        <w:t xml:space="preserve">Thank you again for the opportunity to provide this feedback. We look forward to continuing to work with you on the development and delivery of this </w:t>
      </w:r>
      <w:r>
        <w:rPr>
          <w:rFonts w:eastAsia="Arial" w:cs="Arial"/>
          <w:szCs w:val="20"/>
          <w:lang w:val="en-US"/>
        </w:rPr>
        <w:t>strategy</w:t>
      </w:r>
      <w:r w:rsidRPr="00BC6212">
        <w:rPr>
          <w:rFonts w:eastAsia="Arial" w:cs="Arial"/>
          <w:szCs w:val="20"/>
          <w:lang w:val="en-US"/>
        </w:rPr>
        <w:t>.</w:t>
      </w:r>
    </w:p>
    <w:p w:rsidR="00395A52" w:rsidRPr="004B5A77" w:rsidRDefault="00395A52" w:rsidP="00395A52">
      <w:pPr>
        <w:spacing w:after="120"/>
        <w:rPr>
          <w:rFonts w:eastAsia="Calibri" w:cs="Arial"/>
          <w:szCs w:val="20"/>
          <w:shd w:val="clear" w:color="auto" w:fill="FFFFFF"/>
        </w:rPr>
      </w:pPr>
      <w:r w:rsidRPr="00BC6212">
        <w:rPr>
          <w:rFonts w:eastAsia="Calibri" w:cs="Arial"/>
          <w:szCs w:val="20"/>
          <w:shd w:val="clear" w:color="auto" w:fill="FFFFFF"/>
        </w:rPr>
        <w:t>Yours sincerely,</w:t>
      </w:r>
    </w:p>
    <w:p w:rsidR="00395A52" w:rsidRPr="00BC6212" w:rsidRDefault="00395A52" w:rsidP="00395A52">
      <w:pPr>
        <w:spacing w:after="60"/>
        <w:rPr>
          <w:rFonts w:eastAsia="Calibri" w:cs="Arial"/>
          <w:shd w:val="clear" w:color="auto" w:fill="FFFFFF"/>
        </w:rPr>
      </w:pPr>
      <w:r w:rsidRPr="00D82912">
        <w:rPr>
          <w:rFonts w:eastAsia="Calibri" w:cs="Arial"/>
          <w:shd w:val="clear" w:color="auto" w:fill="FFFFFF"/>
        </w:rPr>
        <w:t>Tiffany Crawford</w:t>
      </w:r>
    </w:p>
    <w:p w:rsidR="00395A52" w:rsidRPr="00BC6212" w:rsidRDefault="00395A52" w:rsidP="00395A52">
      <w:pPr>
        <w:spacing w:after="0"/>
        <w:rPr>
          <w:rFonts w:eastAsia="Calibri" w:cs="Arial"/>
          <w:b/>
          <w:color w:val="222222"/>
          <w:szCs w:val="20"/>
          <w:shd w:val="clear" w:color="auto" w:fill="FFFFFF"/>
        </w:rPr>
      </w:pPr>
      <w:r w:rsidRPr="00BC6212">
        <w:rPr>
          <w:rFonts w:eastAsia="Calibri" w:cs="Arial"/>
          <w:b/>
          <w:shd w:val="clear" w:color="auto" w:fill="FFFFFF"/>
        </w:rPr>
        <w:t>Co-Director, Climate Change and City Resilience</w:t>
      </w:r>
    </w:p>
    <w:p w:rsidR="00395A52" w:rsidRDefault="00395A52" w:rsidP="00395A52">
      <w:pPr>
        <w:rPr>
          <w:rFonts w:eastAsia="Calibri"/>
          <w:szCs w:val="20"/>
        </w:rPr>
      </w:pPr>
    </w:p>
    <w:p w:rsidR="00395A52" w:rsidRPr="004B5A77" w:rsidRDefault="00395A52" w:rsidP="004B5A77">
      <w:pPr>
        <w:rPr>
          <w:rFonts w:eastAsia="Calibri" w:hint="eastAsia"/>
          <w:szCs w:val="20"/>
        </w:rPr>
      </w:pPr>
      <w:proofErr w:type="spellStart"/>
      <w:r w:rsidRPr="008B605D">
        <w:rPr>
          <w:rFonts w:eastAsia="Calibri"/>
          <w:szCs w:val="20"/>
        </w:rPr>
        <w:t>CoM</w:t>
      </w:r>
      <w:proofErr w:type="spellEnd"/>
      <w:r w:rsidRPr="008B605D">
        <w:rPr>
          <w:rFonts w:eastAsia="Calibri"/>
          <w:szCs w:val="20"/>
        </w:rPr>
        <w:t xml:space="preserve"> reference: 14891349</w:t>
      </w:r>
      <w:bookmarkStart w:id="2" w:name="_GoBack"/>
      <w:bookmarkEnd w:id="2"/>
    </w:p>
    <w:p w:rsidR="00BE6801" w:rsidRPr="00802A52" w:rsidRDefault="00B152AF" w:rsidP="00802A52">
      <w:pPr>
        <w:pStyle w:val="Heading1"/>
        <w:rPr>
          <w:rFonts w:hint="eastAsia"/>
        </w:rPr>
      </w:pPr>
      <w:r>
        <w:rPr>
          <w:rFonts w:hint="eastAsia"/>
        </w:rPr>
        <w:br w:type="page"/>
      </w:r>
      <w:bookmarkStart w:id="3" w:name="_Toc419982219"/>
      <w:bookmarkStart w:id="4" w:name="_Toc419982304"/>
      <w:bookmarkStart w:id="5" w:name="_Toc419982305"/>
      <w:r w:rsidR="00BE100F" w:rsidRPr="00802A52">
        <w:t xml:space="preserve">Heading </w:t>
      </w:r>
      <w:r w:rsidR="000437C5" w:rsidRPr="00802A52">
        <w:t>1</w:t>
      </w:r>
      <w:bookmarkEnd w:id="0"/>
      <w:bookmarkEnd w:id="1"/>
      <w:bookmarkEnd w:id="3"/>
      <w:bookmarkEnd w:id="4"/>
      <w:bookmarkEnd w:id="5"/>
    </w:p>
    <w:p w:rsidR="00BE6801" w:rsidRPr="00AB6132" w:rsidRDefault="00BE6801" w:rsidP="005814F5">
      <w:r w:rsidRPr="00AB6132">
        <w:t>Body text body text body text body text body text body text body text body text body text body text body text body text body text body text body text body text body text body text body text body text body text body text body text body text body text body te</w:t>
      </w:r>
      <w:r w:rsidRPr="00831224">
        <w:t>x</w:t>
      </w:r>
      <w:r w:rsidRPr="00AB6132">
        <w:t xml:space="preserve">t body text body text body text body text </w:t>
      </w:r>
    </w:p>
    <w:p w:rsidR="00BE6801" w:rsidRPr="00AF02E0" w:rsidRDefault="00881C97" w:rsidP="00AF02E0">
      <w:pPr>
        <w:pStyle w:val="Heading2"/>
        <w:rPr>
          <w:rFonts w:hint="eastAsia"/>
        </w:rPr>
      </w:pPr>
      <w:bookmarkStart w:id="6" w:name="_Toc403992346"/>
      <w:bookmarkStart w:id="7" w:name="_Toc403992581"/>
      <w:bookmarkStart w:id="8" w:name="_Toc419982220"/>
      <w:bookmarkStart w:id="9" w:name="_Toc419982306"/>
      <w:r w:rsidRPr="00AF02E0">
        <w:t>Heading 2</w:t>
      </w:r>
      <w:bookmarkEnd w:id="6"/>
      <w:bookmarkEnd w:id="7"/>
      <w:bookmarkEnd w:id="8"/>
      <w:bookmarkEnd w:id="9"/>
    </w:p>
    <w:p w:rsidR="00BE6801" w:rsidRPr="00AD2B6E" w:rsidRDefault="00AD2B6E" w:rsidP="00AD2B6E">
      <w:r w:rsidRPr="00190B0E">
        <w:rPr>
          <w:rStyle w:val="BoldChar"/>
        </w:rPr>
        <w:t xml:space="preserve">Bold </w:t>
      </w:r>
      <w:r w:rsidR="00BE6801" w:rsidRPr="00190B0E">
        <w:rPr>
          <w:rStyle w:val="BoldChar"/>
        </w:rPr>
        <w:t>Body Text</w:t>
      </w:r>
      <w:r w:rsidR="00BE6801" w:rsidRPr="00AD2B6E">
        <w:t xml:space="preserve"> </w:t>
      </w:r>
      <w:r w:rsidRPr="00AD2B6E">
        <w:rPr>
          <w:rStyle w:val="ItalicText"/>
        </w:rPr>
        <w:t>Italic</w:t>
      </w:r>
      <w:r w:rsidR="00BE6801" w:rsidRPr="00AD2B6E">
        <w:rPr>
          <w:rStyle w:val="ItalicText"/>
        </w:rPr>
        <w:t xml:space="preserve"> Body Text</w:t>
      </w:r>
      <w:r w:rsidR="00BE6801" w:rsidRPr="00AD2B6E">
        <w:t xml:space="preserve"> body text body text body text body text body text body text body text body text body text body text body text body text body text body text body text body text body text body text body text body text body text body text body text body text body text body</w:t>
      </w:r>
      <w:r w:rsidR="005620A0">
        <w:rPr>
          <w:rStyle w:val="FootnoteReference"/>
        </w:rPr>
        <w:footnoteReference w:id="1"/>
      </w:r>
    </w:p>
    <w:p w:rsidR="00BE6801" w:rsidRPr="00AF02E0" w:rsidRDefault="00881C97" w:rsidP="00802A52">
      <w:pPr>
        <w:pStyle w:val="Heading3"/>
        <w:rPr>
          <w:rFonts w:hint="eastAsia"/>
        </w:rPr>
      </w:pPr>
      <w:bookmarkStart w:id="10" w:name="_Toc403992347"/>
      <w:bookmarkStart w:id="11" w:name="_Toc403992582"/>
      <w:bookmarkStart w:id="12" w:name="_Toc419966635"/>
      <w:bookmarkStart w:id="13" w:name="_Toc419982221"/>
      <w:bookmarkStart w:id="14" w:name="_Toc419982307"/>
      <w:r w:rsidRPr="00802A52">
        <w:t>Heading</w:t>
      </w:r>
      <w:r w:rsidRPr="00AF02E0">
        <w:t xml:space="preserve"> 3</w:t>
      </w:r>
      <w:bookmarkEnd w:id="10"/>
      <w:bookmarkEnd w:id="11"/>
      <w:bookmarkEnd w:id="12"/>
      <w:bookmarkEnd w:id="13"/>
      <w:bookmarkEnd w:id="14"/>
    </w:p>
    <w:p w:rsidR="001F554D" w:rsidRDefault="00BE6801" w:rsidP="00AD2B6E">
      <w:r w:rsidRPr="00AB6132">
        <w:t>Body text b</w:t>
      </w:r>
      <w:r w:rsidRPr="00F63593">
        <w:t>o</w:t>
      </w:r>
      <w:r w:rsidRPr="00AB6132">
        <w:t>dy text b</w:t>
      </w:r>
      <w:r w:rsidRPr="00F63593">
        <w:t>o</w:t>
      </w:r>
      <w:r w:rsidRPr="00AB6132">
        <w:t>dy text b</w:t>
      </w:r>
      <w:r w:rsidRPr="00831224">
        <w:rPr>
          <w:rStyle w:val="ItalicText"/>
        </w:rPr>
        <w:t>o</w:t>
      </w:r>
      <w:r w:rsidRPr="00AB6132">
        <w:t xml:space="preserve">dy text body text body text body text body text body text body text body text body text body text body text body text body text body text body text body text body text body text body text body text body text body text body text </w:t>
      </w:r>
      <w:r w:rsidRPr="00AD2B6E">
        <w:t>body text body text body tex</w:t>
      </w:r>
      <w:r w:rsidR="00EF11AE">
        <w:t>t body text</w:t>
      </w:r>
    </w:p>
    <w:p w:rsidR="000437C5" w:rsidRPr="00020B35" w:rsidRDefault="000437C5" w:rsidP="00020B35">
      <w:pPr>
        <w:pStyle w:val="Heading4"/>
        <w:rPr>
          <w:rFonts w:hint="eastAsia"/>
        </w:rPr>
      </w:pPr>
      <w:bookmarkStart w:id="15" w:name="_Toc403992348"/>
      <w:bookmarkStart w:id="16" w:name="_Toc403992583"/>
      <w:r w:rsidRPr="00020B35">
        <w:t>Heading 4</w:t>
      </w:r>
      <w:bookmarkEnd w:id="15"/>
      <w:bookmarkEnd w:id="16"/>
    </w:p>
    <w:p w:rsidR="00407429" w:rsidRDefault="00A8651A" w:rsidP="00407429">
      <w:r w:rsidRPr="00407429">
        <w:t>Body text body text body text body text body text body text body text body text body text body text body text body text body text body text body text body text body text body text body text body text body text body text body text body text</w:t>
      </w:r>
    </w:p>
    <w:p w:rsidR="00802A52" w:rsidRPr="00020B35" w:rsidRDefault="00802A52" w:rsidP="00020B35">
      <w:pPr>
        <w:pStyle w:val="Heading5"/>
      </w:pPr>
      <w:r w:rsidRPr="00020B35">
        <w:t>Heading 5</w:t>
      </w:r>
    </w:p>
    <w:p w:rsidR="00802A52" w:rsidRDefault="00802A52" w:rsidP="00407429">
      <w:r w:rsidRPr="00802A52">
        <w:t>Body text body text body text body text body text body text body text body text body text body text body text body text body text body text body text body text body text body text body text body text body text body text body text body text</w:t>
      </w:r>
    </w:p>
    <w:p w:rsidR="00E86DCD" w:rsidRDefault="00E86DCD" w:rsidP="0091365A">
      <w:r w:rsidRPr="00020B35">
        <w:rPr>
          <w:b/>
        </w:rPr>
        <w:t>No Space</w:t>
      </w:r>
      <w:r>
        <w:t xml:space="preserve"> style</w:t>
      </w:r>
      <w:r w:rsidR="00020B35">
        <w:t xml:space="preserve"> can be used for a</w:t>
      </w:r>
      <w:r>
        <w:t>ddresses</w:t>
      </w:r>
      <w:r w:rsidR="00020B35">
        <w:t xml:space="preserve"> or </w:t>
      </w:r>
      <w:r w:rsidR="0091365A">
        <w:t>where spacing is not required, e.g.</w:t>
      </w:r>
      <w:r w:rsidR="00020B35">
        <w:t>:</w:t>
      </w:r>
    </w:p>
    <w:p w:rsidR="00020B35" w:rsidRDefault="00020B35" w:rsidP="0091365A">
      <w:pPr>
        <w:pStyle w:val="Nospace"/>
      </w:pPr>
      <w:r>
        <w:t>City of Melbourne</w:t>
      </w:r>
    </w:p>
    <w:p w:rsidR="0091365A" w:rsidRDefault="0091365A" w:rsidP="0091365A">
      <w:pPr>
        <w:pStyle w:val="Nospace"/>
      </w:pPr>
      <w:r>
        <w:t>GPO Box 1603</w:t>
      </w:r>
    </w:p>
    <w:p w:rsidR="00020B35" w:rsidRDefault="0091365A" w:rsidP="0091365A">
      <w:pPr>
        <w:pStyle w:val="Nospace"/>
      </w:pPr>
      <w:r>
        <w:t>Melbourne VIC 3001</w:t>
      </w:r>
    </w:p>
    <w:p w:rsidR="00071857" w:rsidRPr="00B61F7F" w:rsidRDefault="00F03DF7" w:rsidP="00F03DF7">
      <w:pPr>
        <w:pStyle w:val="Caption"/>
        <w:rPr>
          <w:rFonts w:hint="eastAsia"/>
        </w:rPr>
      </w:pPr>
      <w:r>
        <w:t>Table 1</w:t>
      </w:r>
      <w:r w:rsidR="00B93B1F" w:rsidRPr="00B61F7F">
        <w:t xml:space="preserve"> – </w:t>
      </w:r>
      <w:r w:rsidR="0091365A">
        <w:t>Title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2296"/>
        <w:gridCol w:w="2353"/>
        <w:gridCol w:w="2353"/>
        <w:gridCol w:w="2354"/>
      </w:tblGrid>
      <w:tr w:rsidR="000F3535" w:rsidRPr="000474AE" w:rsidTr="002D630D">
        <w:trPr>
          <w:tblHeader/>
        </w:trPr>
        <w:tc>
          <w:tcPr>
            <w:tcW w:w="2296" w:type="dxa"/>
            <w:shd w:val="clear" w:color="auto" w:fill="auto"/>
          </w:tcPr>
          <w:p w:rsidR="000474AE" w:rsidRPr="00802A52" w:rsidRDefault="0053666A" w:rsidP="0053666A">
            <w:pPr>
              <w:pStyle w:val="TableofFigures"/>
              <w:rPr>
                <w:rFonts w:eastAsia="Cambria"/>
                <w:b/>
              </w:rPr>
            </w:pPr>
            <w:bookmarkStart w:id="17" w:name="_Toc403992349"/>
            <w:bookmarkStart w:id="18" w:name="_Toc403992585"/>
            <w:r w:rsidRPr="00802A52">
              <w:rPr>
                <w:rFonts w:eastAsia="Cambria"/>
                <w:b/>
              </w:rPr>
              <w:t>Table of figures bold</w:t>
            </w:r>
          </w:p>
        </w:tc>
        <w:tc>
          <w:tcPr>
            <w:tcW w:w="2353" w:type="dxa"/>
            <w:shd w:val="clear" w:color="auto" w:fill="auto"/>
          </w:tcPr>
          <w:p w:rsidR="000474AE" w:rsidRPr="00802A52" w:rsidRDefault="0053666A" w:rsidP="000474AE">
            <w:pPr>
              <w:pStyle w:val="TableofFigures"/>
              <w:rPr>
                <w:rFonts w:eastAsia="Cambria"/>
                <w:b/>
              </w:rPr>
            </w:pPr>
            <w:r w:rsidRPr="00802A52">
              <w:rPr>
                <w:rFonts w:eastAsia="Cambria"/>
                <w:b/>
              </w:rPr>
              <w:t>Table of figures bold</w:t>
            </w:r>
          </w:p>
        </w:tc>
        <w:tc>
          <w:tcPr>
            <w:tcW w:w="2353" w:type="dxa"/>
            <w:shd w:val="clear" w:color="auto" w:fill="auto"/>
          </w:tcPr>
          <w:p w:rsidR="000474AE" w:rsidRPr="00802A52" w:rsidRDefault="0053666A" w:rsidP="000474AE">
            <w:pPr>
              <w:pStyle w:val="TableofFigures"/>
              <w:rPr>
                <w:rFonts w:eastAsia="Cambria"/>
                <w:b/>
              </w:rPr>
            </w:pPr>
            <w:r w:rsidRPr="00802A52">
              <w:rPr>
                <w:rFonts w:eastAsia="Cambria"/>
                <w:b/>
              </w:rPr>
              <w:t>Table of figures bold</w:t>
            </w:r>
          </w:p>
        </w:tc>
        <w:tc>
          <w:tcPr>
            <w:tcW w:w="2354" w:type="dxa"/>
            <w:shd w:val="clear" w:color="auto" w:fill="auto"/>
          </w:tcPr>
          <w:p w:rsidR="000474AE" w:rsidRPr="00802A52" w:rsidRDefault="0053666A" w:rsidP="000474AE">
            <w:pPr>
              <w:pStyle w:val="TableofFigures"/>
              <w:rPr>
                <w:rFonts w:eastAsia="Cambria"/>
                <w:b/>
              </w:rPr>
            </w:pPr>
            <w:r w:rsidRPr="00802A52">
              <w:rPr>
                <w:rFonts w:eastAsia="Cambria"/>
                <w:b/>
              </w:rPr>
              <w:t>Table of figures bold</w:t>
            </w:r>
          </w:p>
        </w:tc>
      </w:tr>
      <w:tr w:rsidR="000F3535" w:rsidRPr="00493E0A" w:rsidTr="002D630D">
        <w:tc>
          <w:tcPr>
            <w:tcW w:w="2296" w:type="dxa"/>
            <w:shd w:val="clear" w:color="auto" w:fill="auto"/>
          </w:tcPr>
          <w:p w:rsidR="0053666A" w:rsidRPr="00802A52" w:rsidRDefault="0053666A" w:rsidP="0053666A">
            <w:pPr>
              <w:pStyle w:val="TableofFigures"/>
              <w:rPr>
                <w:rFonts w:eastAsia="Cambria"/>
              </w:rPr>
            </w:pPr>
            <w:r w:rsidRPr="00802A52">
              <w:rPr>
                <w:rFonts w:eastAsia="Cambria"/>
              </w:rPr>
              <w:t>Table of figures text</w:t>
            </w:r>
          </w:p>
        </w:tc>
        <w:tc>
          <w:tcPr>
            <w:tcW w:w="2353" w:type="dxa"/>
            <w:shd w:val="clear" w:color="auto" w:fill="auto"/>
          </w:tcPr>
          <w:p w:rsidR="0053666A" w:rsidRPr="00802A52" w:rsidRDefault="0053666A" w:rsidP="0053666A">
            <w:pPr>
              <w:pStyle w:val="TableofFigures"/>
              <w:rPr>
                <w:rFonts w:eastAsia="Cambria"/>
              </w:rPr>
            </w:pPr>
            <w:r w:rsidRPr="00802A52">
              <w:rPr>
                <w:rFonts w:eastAsia="Cambria"/>
              </w:rPr>
              <w:t>Table of figures text</w:t>
            </w:r>
          </w:p>
        </w:tc>
        <w:tc>
          <w:tcPr>
            <w:tcW w:w="2353" w:type="dxa"/>
            <w:shd w:val="clear" w:color="auto" w:fill="auto"/>
          </w:tcPr>
          <w:p w:rsidR="0053666A" w:rsidRPr="00802A52" w:rsidRDefault="0053666A" w:rsidP="00BC5E8E">
            <w:pPr>
              <w:pStyle w:val="TableofFigures"/>
              <w:rPr>
                <w:rFonts w:eastAsia="Cambria"/>
              </w:rPr>
            </w:pPr>
            <w:r w:rsidRPr="00802A52">
              <w:rPr>
                <w:rFonts w:eastAsia="Cambria"/>
              </w:rPr>
              <w:t>Table of figures text</w:t>
            </w:r>
          </w:p>
        </w:tc>
        <w:tc>
          <w:tcPr>
            <w:tcW w:w="2354" w:type="dxa"/>
            <w:shd w:val="clear" w:color="auto" w:fill="auto"/>
          </w:tcPr>
          <w:p w:rsidR="0053666A" w:rsidRPr="00802A52" w:rsidRDefault="0053666A" w:rsidP="00BC5E8E">
            <w:pPr>
              <w:pStyle w:val="TableofFigures"/>
              <w:rPr>
                <w:rFonts w:eastAsia="Cambria"/>
              </w:rPr>
            </w:pPr>
            <w:r w:rsidRPr="00802A52">
              <w:rPr>
                <w:rFonts w:eastAsia="Cambria"/>
              </w:rPr>
              <w:t>Table of figures text</w:t>
            </w:r>
          </w:p>
        </w:tc>
      </w:tr>
      <w:tr w:rsidR="000F3535" w:rsidRPr="00493E0A" w:rsidTr="002D630D">
        <w:tc>
          <w:tcPr>
            <w:tcW w:w="2296" w:type="dxa"/>
            <w:shd w:val="clear" w:color="auto" w:fill="auto"/>
          </w:tcPr>
          <w:p w:rsidR="0053666A" w:rsidRPr="00802A52" w:rsidRDefault="0053666A" w:rsidP="0053666A">
            <w:pPr>
              <w:pStyle w:val="TableofFigures"/>
              <w:rPr>
                <w:rFonts w:eastAsia="Cambria"/>
              </w:rPr>
            </w:pPr>
            <w:r w:rsidRPr="00802A52">
              <w:rPr>
                <w:rFonts w:eastAsia="Cambria"/>
              </w:rPr>
              <w:t>Table of figures text</w:t>
            </w:r>
          </w:p>
        </w:tc>
        <w:tc>
          <w:tcPr>
            <w:tcW w:w="2353" w:type="dxa"/>
            <w:shd w:val="clear" w:color="auto" w:fill="auto"/>
          </w:tcPr>
          <w:p w:rsidR="0053666A" w:rsidRPr="00802A52" w:rsidRDefault="0053666A" w:rsidP="0053666A">
            <w:pPr>
              <w:pStyle w:val="TableofFigures"/>
              <w:rPr>
                <w:rFonts w:eastAsia="Cambria"/>
              </w:rPr>
            </w:pPr>
            <w:r w:rsidRPr="00802A52">
              <w:rPr>
                <w:rFonts w:eastAsia="Cambria"/>
              </w:rPr>
              <w:t>Table of figures text</w:t>
            </w:r>
          </w:p>
        </w:tc>
        <w:tc>
          <w:tcPr>
            <w:tcW w:w="2353" w:type="dxa"/>
            <w:shd w:val="clear" w:color="auto" w:fill="auto"/>
          </w:tcPr>
          <w:p w:rsidR="0053666A" w:rsidRPr="00802A52" w:rsidRDefault="0053666A" w:rsidP="00BC5E8E">
            <w:pPr>
              <w:pStyle w:val="TableofFigures"/>
              <w:rPr>
                <w:rFonts w:eastAsia="Cambria"/>
              </w:rPr>
            </w:pPr>
            <w:r w:rsidRPr="00802A52">
              <w:rPr>
                <w:rFonts w:eastAsia="Cambria"/>
              </w:rPr>
              <w:t>Table of figures text</w:t>
            </w:r>
          </w:p>
        </w:tc>
        <w:tc>
          <w:tcPr>
            <w:tcW w:w="2354" w:type="dxa"/>
            <w:shd w:val="clear" w:color="auto" w:fill="auto"/>
          </w:tcPr>
          <w:p w:rsidR="0053666A" w:rsidRPr="00802A52" w:rsidRDefault="0053666A" w:rsidP="00BC5E8E">
            <w:pPr>
              <w:pStyle w:val="TableofFigures"/>
              <w:rPr>
                <w:rFonts w:eastAsia="Cambria"/>
              </w:rPr>
            </w:pPr>
            <w:r w:rsidRPr="00802A52">
              <w:rPr>
                <w:rFonts w:eastAsia="Cambria"/>
              </w:rPr>
              <w:t>Table of figures text</w:t>
            </w:r>
          </w:p>
        </w:tc>
      </w:tr>
      <w:tr w:rsidR="000F3535" w:rsidRPr="00493E0A" w:rsidTr="002D630D">
        <w:tc>
          <w:tcPr>
            <w:tcW w:w="2296" w:type="dxa"/>
            <w:shd w:val="clear" w:color="auto" w:fill="auto"/>
          </w:tcPr>
          <w:p w:rsidR="0053666A" w:rsidRPr="00802A52" w:rsidRDefault="0053666A" w:rsidP="0053666A">
            <w:pPr>
              <w:pStyle w:val="TableofFigures"/>
              <w:rPr>
                <w:rFonts w:eastAsia="Cambria"/>
              </w:rPr>
            </w:pPr>
            <w:r w:rsidRPr="00802A52">
              <w:rPr>
                <w:rFonts w:eastAsia="Cambria"/>
              </w:rPr>
              <w:t>Table of figures text</w:t>
            </w:r>
          </w:p>
        </w:tc>
        <w:tc>
          <w:tcPr>
            <w:tcW w:w="2353" w:type="dxa"/>
            <w:shd w:val="clear" w:color="auto" w:fill="auto"/>
          </w:tcPr>
          <w:p w:rsidR="0053666A" w:rsidRPr="00802A52" w:rsidRDefault="0053666A" w:rsidP="0053666A">
            <w:pPr>
              <w:pStyle w:val="TableofFigures"/>
              <w:rPr>
                <w:rFonts w:eastAsia="Cambria"/>
              </w:rPr>
            </w:pPr>
            <w:r w:rsidRPr="00802A52">
              <w:rPr>
                <w:rFonts w:eastAsia="Cambria"/>
              </w:rPr>
              <w:t>Table of figures text</w:t>
            </w:r>
          </w:p>
        </w:tc>
        <w:tc>
          <w:tcPr>
            <w:tcW w:w="2353" w:type="dxa"/>
            <w:shd w:val="clear" w:color="auto" w:fill="auto"/>
          </w:tcPr>
          <w:p w:rsidR="0053666A" w:rsidRPr="00802A52" w:rsidRDefault="0053666A" w:rsidP="00BC5E8E">
            <w:pPr>
              <w:pStyle w:val="TableofFigures"/>
              <w:rPr>
                <w:rFonts w:eastAsia="Cambria"/>
              </w:rPr>
            </w:pPr>
            <w:r w:rsidRPr="00802A52">
              <w:rPr>
                <w:rFonts w:eastAsia="Cambria"/>
              </w:rPr>
              <w:t>Table of figures text</w:t>
            </w:r>
          </w:p>
        </w:tc>
        <w:tc>
          <w:tcPr>
            <w:tcW w:w="2354" w:type="dxa"/>
            <w:shd w:val="clear" w:color="auto" w:fill="auto"/>
          </w:tcPr>
          <w:p w:rsidR="0053666A" w:rsidRPr="00802A52" w:rsidRDefault="0053666A" w:rsidP="00BC5E8E">
            <w:pPr>
              <w:pStyle w:val="TableofFigures"/>
              <w:rPr>
                <w:rFonts w:eastAsia="Cambria"/>
              </w:rPr>
            </w:pPr>
            <w:r w:rsidRPr="00802A52">
              <w:rPr>
                <w:rFonts w:eastAsia="Cambria"/>
              </w:rPr>
              <w:t>Table of figures text</w:t>
            </w:r>
          </w:p>
        </w:tc>
      </w:tr>
    </w:tbl>
    <w:p w:rsidR="00C05740" w:rsidRPr="00E5089C" w:rsidRDefault="00020B35" w:rsidP="00E5089C">
      <w:pPr>
        <w:pStyle w:val="Heading2"/>
        <w:rPr>
          <w:rFonts w:hint="eastAsia"/>
        </w:rPr>
      </w:pPr>
      <w:r>
        <w:rPr>
          <w:rFonts w:hint="eastAsia"/>
        </w:rPr>
        <w:br w:type="page"/>
      </w:r>
      <w:bookmarkEnd w:id="17"/>
      <w:bookmarkEnd w:id="18"/>
      <w:r w:rsidR="0091365A">
        <w:t>Bullet styles</w:t>
      </w:r>
    </w:p>
    <w:p w:rsidR="00C05740" w:rsidRDefault="00C05740" w:rsidP="00C05740">
      <w:pPr>
        <w:pStyle w:val="ListBullet"/>
      </w:pPr>
      <w:r>
        <w:t>Bullet List – Level 1</w:t>
      </w:r>
    </w:p>
    <w:p w:rsidR="00C05740" w:rsidRDefault="00C05740" w:rsidP="00C05740">
      <w:pPr>
        <w:pStyle w:val="ListBullet2"/>
      </w:pPr>
      <w:r>
        <w:t>Bullet List – Level 2</w:t>
      </w:r>
    </w:p>
    <w:p w:rsidR="000A48D5" w:rsidRDefault="000A48D5" w:rsidP="000A48D5">
      <w:pPr>
        <w:pStyle w:val="ListBullet2"/>
      </w:pPr>
      <w:r>
        <w:t>Bullet List – Level 2</w:t>
      </w:r>
    </w:p>
    <w:p w:rsidR="008D2DDA" w:rsidRDefault="008D2DDA" w:rsidP="008D2DDA">
      <w:pPr>
        <w:pStyle w:val="ListBullet3"/>
      </w:pPr>
      <w:r>
        <w:t>Bullet List – Level 3</w:t>
      </w:r>
    </w:p>
    <w:p w:rsidR="008D2DDA" w:rsidRDefault="008D2DDA" w:rsidP="008D2DDA">
      <w:pPr>
        <w:pStyle w:val="ListBullet4"/>
      </w:pPr>
      <w:r>
        <w:t>Bullet List – Level 4</w:t>
      </w:r>
    </w:p>
    <w:p w:rsidR="008D2DDA" w:rsidRDefault="008D2DDA" w:rsidP="008D2DDA">
      <w:pPr>
        <w:pStyle w:val="ListBullet5"/>
      </w:pPr>
      <w:r>
        <w:t>Bullet List – Level 5</w:t>
      </w:r>
    </w:p>
    <w:p w:rsidR="00CA3730" w:rsidRDefault="00C05740" w:rsidP="00C05740">
      <w:pPr>
        <w:pStyle w:val="ListBullet"/>
      </w:pPr>
      <w:r>
        <w:t>Bullet List – Level 1</w:t>
      </w:r>
    </w:p>
    <w:p w:rsidR="0024773F" w:rsidRDefault="00C05740" w:rsidP="0024773F">
      <w:pPr>
        <w:pStyle w:val="ListBullet2"/>
      </w:pPr>
      <w:r>
        <w:t>Bullet List – Level 2</w:t>
      </w:r>
    </w:p>
    <w:p w:rsidR="0024773F" w:rsidRPr="00E5089C" w:rsidRDefault="0091365A" w:rsidP="00E5089C">
      <w:pPr>
        <w:pStyle w:val="Heading2"/>
        <w:rPr>
          <w:rFonts w:hint="eastAsia"/>
        </w:rPr>
      </w:pPr>
      <w:r>
        <w:t>Numbered list styles</w:t>
      </w:r>
    </w:p>
    <w:p w:rsidR="0024773F" w:rsidRDefault="0073401D" w:rsidP="00D02C4A">
      <w:pPr>
        <w:pStyle w:val="ListNumber"/>
      </w:pPr>
      <w:r>
        <w:t>Numbered List – Level 1</w:t>
      </w:r>
    </w:p>
    <w:p w:rsidR="00D02C4A" w:rsidRDefault="00D02C4A" w:rsidP="00D02C4A">
      <w:pPr>
        <w:pStyle w:val="ListNumber2"/>
      </w:pPr>
      <w:r>
        <w:t>Numbered List – Level 2</w:t>
      </w:r>
    </w:p>
    <w:p w:rsidR="00D02C4A" w:rsidRDefault="00D02C4A" w:rsidP="00D02C4A">
      <w:pPr>
        <w:pStyle w:val="ListNumber2"/>
      </w:pPr>
      <w:r>
        <w:t>Numbered List</w:t>
      </w:r>
    </w:p>
    <w:p w:rsidR="00D02C4A" w:rsidRDefault="00D02C4A" w:rsidP="00D02C4A">
      <w:pPr>
        <w:pStyle w:val="ListNumber3"/>
      </w:pPr>
      <w:r>
        <w:t>Numbered List</w:t>
      </w:r>
    </w:p>
    <w:p w:rsidR="00D02C4A" w:rsidRDefault="00D02C4A" w:rsidP="00D02C4A">
      <w:pPr>
        <w:pStyle w:val="ListNumber4"/>
      </w:pPr>
      <w:r>
        <w:t>Numbered List</w:t>
      </w:r>
    </w:p>
    <w:p w:rsidR="00D02C4A" w:rsidRDefault="00D02C4A" w:rsidP="00D02C4A">
      <w:pPr>
        <w:pStyle w:val="ListNumber"/>
      </w:pPr>
      <w:r>
        <w:t>Numbered List</w:t>
      </w:r>
    </w:p>
    <w:p w:rsidR="00D02C4A" w:rsidRDefault="00D02C4A" w:rsidP="00D02C4A">
      <w:pPr>
        <w:pStyle w:val="ListNumber2"/>
      </w:pPr>
      <w:r>
        <w:t>Numbered list</w:t>
      </w:r>
    </w:p>
    <w:p w:rsidR="002436A6" w:rsidRDefault="002436A6" w:rsidP="002436A6">
      <w:pPr>
        <w:pStyle w:val="ListNumber3"/>
      </w:pPr>
      <w:r>
        <w:t>Numbered List</w:t>
      </w:r>
    </w:p>
    <w:p w:rsidR="00D02C4A" w:rsidRDefault="00D02C4A" w:rsidP="00D02C4A">
      <w:pPr>
        <w:pStyle w:val="ListNumber2"/>
      </w:pPr>
      <w:r>
        <w:t>Numbered List</w:t>
      </w:r>
    </w:p>
    <w:p w:rsidR="004A26E3" w:rsidRPr="004A26E3" w:rsidRDefault="002436A6" w:rsidP="004A26E3">
      <w:pPr>
        <w:pStyle w:val="ListNumber3"/>
      </w:pPr>
      <w:r>
        <w:t>Numbered List</w:t>
      </w:r>
    </w:p>
    <w:sectPr w:rsidR="004A26E3" w:rsidRPr="004A26E3"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E03" w:rsidRDefault="00757E03" w:rsidP="00BC719D">
      <w:pPr>
        <w:spacing w:after="0"/>
      </w:pPr>
      <w:r>
        <w:separator/>
      </w:r>
    </w:p>
  </w:endnote>
  <w:endnote w:type="continuationSeparator" w:id="0">
    <w:p w:rsidR="00757E03" w:rsidRDefault="00757E03"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E03" w:rsidRDefault="00757E03" w:rsidP="00577A39">
      <w:pPr>
        <w:spacing w:after="40" w:line="240" w:lineRule="auto"/>
      </w:pPr>
      <w:r>
        <w:separator/>
      </w:r>
    </w:p>
  </w:footnote>
  <w:footnote w:type="continuationSeparator" w:id="0">
    <w:p w:rsidR="00757E03" w:rsidRDefault="00757E03" w:rsidP="00EA2130">
      <w:r>
        <w:continuationSeparator/>
      </w:r>
    </w:p>
  </w:footnote>
  <w:footnote w:id="1">
    <w:p w:rsidR="004A26E3" w:rsidRDefault="004A26E3">
      <w:pPr>
        <w:pStyle w:val="FootnoteText"/>
      </w:pPr>
      <w:r>
        <w:rPr>
          <w:rStyle w:val="FootnoteReference"/>
        </w:rPr>
        <w:footnoteRef/>
      </w:r>
      <w:r>
        <w:t xml:space="preserve"> </w:t>
      </w:r>
      <w:r w:rsidRPr="004D00DD">
        <w:t>http://www.thatsmelbourne.com.au/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A2B5D1C"/>
    <w:multiLevelType w:val="multilevel"/>
    <w:tmpl w:val="16506B6C"/>
    <w:numStyleLink w:val="ListNumbers"/>
  </w:abstractNum>
  <w:abstractNum w:abstractNumId="6"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10957"/>
    <w:multiLevelType w:val="multilevel"/>
    <w:tmpl w:val="16506B6C"/>
    <w:numStyleLink w:val="ListNumbers"/>
  </w:abstractNum>
  <w:abstractNum w:abstractNumId="8" w15:restartNumberingAfterBreak="0">
    <w:nsid w:val="5F1F726A"/>
    <w:multiLevelType w:val="hybridMultilevel"/>
    <w:tmpl w:val="589CBC4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1209CA"/>
    <w:multiLevelType w:val="multilevel"/>
    <w:tmpl w:val="16506B6C"/>
    <w:numStyleLink w:val="ListNumbers"/>
  </w:abstractNum>
  <w:abstractNum w:abstractNumId="11" w15:restartNumberingAfterBreak="0">
    <w:nsid w:val="7A2C43DC"/>
    <w:multiLevelType w:val="multilevel"/>
    <w:tmpl w:val="16506B6C"/>
    <w:numStyleLink w:val="ListNumbers"/>
  </w:abstractNum>
  <w:abstractNum w:abstractNumId="12"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9"/>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03"/>
    <w:rsid w:val="00020B35"/>
    <w:rsid w:val="000437C5"/>
    <w:rsid w:val="000474AE"/>
    <w:rsid w:val="00071857"/>
    <w:rsid w:val="000A2BDA"/>
    <w:rsid w:val="000A48D5"/>
    <w:rsid w:val="000B5EAA"/>
    <w:rsid w:val="000F3535"/>
    <w:rsid w:val="00190B0E"/>
    <w:rsid w:val="001B51BF"/>
    <w:rsid w:val="001F46B4"/>
    <w:rsid w:val="001F554D"/>
    <w:rsid w:val="002436A6"/>
    <w:rsid w:val="002438B7"/>
    <w:rsid w:val="0024773F"/>
    <w:rsid w:val="002D630D"/>
    <w:rsid w:val="002E4153"/>
    <w:rsid w:val="002F47B6"/>
    <w:rsid w:val="002F6A88"/>
    <w:rsid w:val="00380F44"/>
    <w:rsid w:val="00392688"/>
    <w:rsid w:val="00395A52"/>
    <w:rsid w:val="003D63A8"/>
    <w:rsid w:val="003E3A9F"/>
    <w:rsid w:val="00407429"/>
    <w:rsid w:val="00426584"/>
    <w:rsid w:val="00431D45"/>
    <w:rsid w:val="004564F4"/>
    <w:rsid w:val="00457042"/>
    <w:rsid w:val="004878DB"/>
    <w:rsid w:val="00493E0A"/>
    <w:rsid w:val="00494A2D"/>
    <w:rsid w:val="004A26E3"/>
    <w:rsid w:val="004B5A77"/>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57E03"/>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F7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cki.barmby@melbourne.vic.gov.au"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auc-word-edit.officeapps.live.com/we/wordeditorframe.aspx?ui=en%2DUS&amp;rs=en%2DUS&amp;wopisrc=https%3A%2F%2Fcityofmelbourne-my.sharepoint.com%2Fpersonal%2Fcandace_jordan_melbourne_vic_gov_au%2F_vti_bin%2Fwopi.ashx%2Ffiles%2Ff5ca73a072ed44239d5a0a2eb4c6a907&amp;wdenableroaming=1&amp;mscc=1&amp;wdodb=1&amp;hid=F642DD9F-802E-0000-B212-C2185AE1D3F3&amp;wdorigin=ItemsView&amp;wdhostclicktime=1626752584329&amp;jsapi=1&amp;jsapiver=v1&amp;newsession=1&amp;corrid=7de9eccb-9cf2-0b39-0657-cbb07a148f30&amp;usid=7de9eccb-9cf2-0b39-0657-cbb07a148f30&amp;sftc=1&amp;mtf=1&amp;sfp=1&amp;instantedit=1&amp;wopicomplete=1&amp;wdredirectionreason=Unified_SingleFlush&amp;preseededsessionkey=db065003-3c46-2179-f510-90d0b027e2c2&amp;preseededwacsessionid=7de9eccb-9cf2-0b39-0657-cbb07a148f30&amp;rct=Medium&amp;ctp=LeastProtected" TargetMode="External"/><Relationship Id="rId4" Type="http://schemas.openxmlformats.org/officeDocument/2006/relationships/settings" Target="settings.xml"/><Relationship Id="rId9" Type="http://schemas.openxmlformats.org/officeDocument/2006/relationships/hyperlink" Target="https://www.melbourne.vic.gov.au/about-council/committees-meetings/meeting-archive/MeetingAgendaItemAttachments/886/15806/FEB20%20FMC2%20AGENDA%20ITEM%206.5.pdf"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88267A-7166-42A1-8855-8EAFD2A284E8}">
  <ds:schemaRefs>
    <ds:schemaRef ds:uri="http://schemas.openxmlformats.org/officeDocument/2006/bibliography"/>
  </ds:schemaRefs>
</ds:datastoreItem>
</file>

<file path=customXml/itemProps2.xml><?xml version="1.0" encoding="utf-8"?>
<ds:datastoreItem xmlns:ds="http://schemas.openxmlformats.org/officeDocument/2006/customXml" ds:itemID="{75A97A3B-1BC8-40D9-9EB0-D2B7B968A7F7}"/>
</file>

<file path=customXml/itemProps3.xml><?xml version="1.0" encoding="utf-8"?>
<ds:datastoreItem xmlns:ds="http://schemas.openxmlformats.org/officeDocument/2006/customXml" ds:itemID="{3EC9D79F-C0F8-4237-BF75-9673E62AD2D8}"/>
</file>

<file path=customXml/itemProps4.xml><?xml version="1.0" encoding="utf-8"?>
<ds:datastoreItem xmlns:ds="http://schemas.openxmlformats.org/officeDocument/2006/customXml" ds:itemID="{4C929132-A71C-41DB-A4C8-3042769B61D6}"/>
</file>

<file path=docProps/app.xml><?xml version="1.0" encoding="utf-8"?>
<Properties xmlns="http://schemas.openxmlformats.org/officeDocument/2006/extended-properties" xmlns:vt="http://schemas.openxmlformats.org/officeDocument/2006/docPropsVTypes">
  <Template>CoM Digital Template.dotm</Template>
  <TotalTime>0</TotalTime>
  <Pages>5</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Climate Resilience and Adaption Strategy</dc:title>
  <dc:creator/>
  <cp:keywords/>
  <cp:lastModifiedBy/>
  <cp:revision>1</cp:revision>
  <dcterms:created xsi:type="dcterms:W3CDTF">2022-02-10T04:55:00Z</dcterms:created>
  <dcterms:modified xsi:type="dcterms:W3CDTF">2022-02-10T04:55:00Z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0x010100759DCEB4B14F5A418FC6C1C10DF60084</vt:lpwstr>
  </property>
</Properties>
</file>