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9C" w:rsidRPr="00E01F6C" w:rsidRDefault="003B2917" w:rsidP="00614DE3">
      <w:pPr>
        <w:pStyle w:val="DocumentTitle"/>
        <w:spacing w:before="3360" w:after="1320"/>
        <w:rPr>
          <w:color w:val="033323"/>
        </w:rPr>
      </w:pPr>
      <w:bookmarkStart w:id="0" w:name="_Toc403992342"/>
      <w:bookmarkStart w:id="1" w:name="_Toc403992578"/>
      <w:bookmarkStart w:id="2" w:name="_Toc403992662"/>
      <w:r>
        <w:rPr>
          <w:color w:val="033323"/>
        </w:rPr>
        <w:t>Public Disclosure Statement</w:t>
      </w:r>
      <w:bookmarkStart w:id="3" w:name="_GoBack"/>
      <w:bookmarkEnd w:id="0"/>
      <w:bookmarkEnd w:id="1"/>
      <w:bookmarkEnd w:id="2"/>
      <w:bookmarkEnd w:id="3"/>
    </w:p>
    <w:p w:rsidR="000F3535" w:rsidRPr="00E01F6C" w:rsidRDefault="003B2917" w:rsidP="001B51BF">
      <w:pPr>
        <w:pStyle w:val="Subtitle"/>
        <w:rPr>
          <w:color w:val="033323"/>
        </w:rPr>
      </w:pPr>
      <w:r>
        <w:rPr>
          <w:color w:val="033323"/>
        </w:rPr>
        <w:t>City of Melbourne</w:t>
      </w:r>
    </w:p>
    <w:p w:rsidR="00C216EF" w:rsidRPr="00E01F6C" w:rsidRDefault="003B2917" w:rsidP="00614DE3">
      <w:pPr>
        <w:pStyle w:val="Subtitle"/>
        <w:rPr>
          <w:color w:val="033323"/>
        </w:rPr>
      </w:pPr>
      <w:r>
        <w:rPr>
          <w:color w:val="033323"/>
        </w:rPr>
        <w:t xml:space="preserve">Melbourne Fashion Week </w:t>
      </w:r>
      <w:r w:rsidR="00C216EF" w:rsidRPr="00E01F6C">
        <w:rPr>
          <w:color w:val="033323"/>
        </w:rPr>
        <w:t>2021</w:t>
      </w:r>
    </w:p>
    <w:p w:rsidR="00C216EF" w:rsidRPr="00E01F6C" w:rsidRDefault="00C216EF" w:rsidP="00614DE3">
      <w:pPr>
        <w:pStyle w:val="Subtitle"/>
        <w:spacing w:after="720"/>
        <w:rPr>
          <w:color w:val="033323"/>
        </w:rPr>
      </w:pPr>
      <w:r w:rsidRPr="00E01F6C">
        <w:rPr>
          <w:color w:val="033323"/>
        </w:rPr>
        <w:t>11-17 O</w:t>
      </w:r>
      <w:r w:rsidR="003B2917">
        <w:rPr>
          <w:color w:val="033323"/>
        </w:rPr>
        <w:t>ctober</w:t>
      </w:r>
      <w:r w:rsidRPr="00E01F6C">
        <w:rPr>
          <w:color w:val="033323"/>
        </w:rPr>
        <w:t>, 2021</w:t>
      </w:r>
    </w:p>
    <w:p w:rsidR="00825AFE" w:rsidRPr="00E01F6C" w:rsidRDefault="003B2917" w:rsidP="00825AFE">
      <w:pPr>
        <w:pStyle w:val="Subtitle2"/>
        <w:rPr>
          <w:color w:val="033323"/>
        </w:rPr>
        <w:sectPr w:rsidR="00825AFE" w:rsidRPr="00E01F6C" w:rsidSect="00825A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0" w:h="16840"/>
          <w:pgMar w:top="1418" w:right="987" w:bottom="1134" w:left="1134" w:header="709" w:footer="709" w:gutter="0"/>
          <w:cols w:space="708"/>
          <w:docGrid w:linePitch="360"/>
        </w:sectPr>
      </w:pPr>
      <w:r>
        <w:rPr>
          <w:color w:val="033323"/>
        </w:rPr>
        <w:t>Pre-Event Report</w:t>
      </w:r>
      <w:bookmarkStart w:id="4" w:name="_Toc88562226"/>
    </w:p>
    <w:p w:rsidR="00312F80" w:rsidRPr="00E01F6C" w:rsidRDefault="00312F80" w:rsidP="00825AFE">
      <w:pPr>
        <w:pStyle w:val="Subtitle2"/>
        <w:rPr>
          <w:color w:val="033323"/>
        </w:rPr>
      </w:pPr>
      <w:r w:rsidRPr="00E01F6C">
        <w:rPr>
          <w:color w:val="033323"/>
        </w:rPr>
        <w:lastRenderedPageBreak/>
        <w:t>Australian Government</w:t>
      </w:r>
      <w:bookmarkEnd w:id="4"/>
    </w:p>
    <w:p w:rsidR="00312F80" w:rsidRPr="00E01F6C" w:rsidRDefault="00312F80" w:rsidP="00312F80">
      <w:pPr>
        <w:pStyle w:val="Heading1"/>
        <w:rPr>
          <w:rFonts w:hint="eastAsia"/>
          <w:color w:val="033323"/>
        </w:rPr>
      </w:pPr>
      <w:bookmarkStart w:id="5" w:name="_Toc88562227"/>
      <w:r w:rsidRPr="00E01F6C">
        <w:rPr>
          <w:color w:val="033323"/>
        </w:rPr>
        <w:t xml:space="preserve">Climate Active </w:t>
      </w:r>
      <w:r w:rsidRPr="00E01F6C">
        <w:rPr>
          <w:rFonts w:hint="eastAsia"/>
          <w:color w:val="033323"/>
        </w:rPr>
        <w:t>Pre</w:t>
      </w:r>
      <w:r w:rsidRPr="00E01F6C">
        <w:rPr>
          <w:color w:val="033323"/>
        </w:rPr>
        <w:t>-event Public Disclosure Statement</w:t>
      </w:r>
      <w:bookmarkEnd w:id="5"/>
    </w:p>
    <w:p w:rsidR="00312F80" w:rsidRPr="00E01F6C" w:rsidRDefault="00312F80" w:rsidP="00312F80">
      <w:pPr>
        <w:pStyle w:val="Heading1"/>
        <w:spacing w:after="840"/>
        <w:rPr>
          <w:rFonts w:hint="eastAsia"/>
          <w:color w:val="033323"/>
        </w:rPr>
      </w:pPr>
      <w:r w:rsidRPr="00E01F6C">
        <w:rPr>
          <w:color w:val="033323"/>
        </w:rPr>
        <w:t>Small/Large event</w:t>
      </w:r>
    </w:p>
    <w:p w:rsidR="00312F80" w:rsidRPr="00E01F6C" w:rsidRDefault="007B5536" w:rsidP="00312F80">
      <w:pPr>
        <w:pStyle w:val="Heading2"/>
        <w:rPr>
          <w:rFonts w:hint="eastAsia"/>
          <w:color w:val="033323"/>
        </w:rPr>
      </w:pPr>
      <w:bookmarkStart w:id="6" w:name="_Toc88562228"/>
      <w:r>
        <w:rPr>
          <w:color w:val="033323"/>
        </w:rPr>
        <w:t>City of Melbourne</w:t>
      </w:r>
      <w:bookmarkEnd w:id="6"/>
    </w:p>
    <w:p w:rsidR="00312F80" w:rsidRPr="00E01F6C" w:rsidRDefault="00312F80" w:rsidP="00312F80">
      <w:pPr>
        <w:pStyle w:val="Heading2"/>
        <w:rPr>
          <w:rFonts w:hint="eastAsia"/>
          <w:color w:val="033323"/>
        </w:rPr>
      </w:pPr>
      <w:r w:rsidRPr="00E01F6C">
        <w:rPr>
          <w:color w:val="033323"/>
        </w:rPr>
        <w:t>Melbourne Fashion Week 2021</w:t>
      </w:r>
    </w:p>
    <w:p w:rsidR="00312F80" w:rsidRPr="00E01F6C" w:rsidRDefault="006E20D7" w:rsidP="00312F80">
      <w:pPr>
        <w:pStyle w:val="Heading2"/>
        <w:rPr>
          <w:rFonts w:hint="eastAsia"/>
          <w:color w:val="033323"/>
        </w:rPr>
      </w:pPr>
      <w:bookmarkStart w:id="7" w:name="_Toc88562229"/>
      <w:r w:rsidRPr="00E01F6C">
        <w:rPr>
          <w:color w:val="033323"/>
        </w:rPr>
        <w:t>11-17 October</w:t>
      </w:r>
      <w:r w:rsidR="00312F80" w:rsidRPr="00E01F6C">
        <w:rPr>
          <w:color w:val="033323"/>
        </w:rPr>
        <w:t xml:space="preserve"> 2021</w:t>
      </w:r>
      <w:bookmarkEnd w:id="7"/>
    </w:p>
    <w:p w:rsidR="00312F80" w:rsidRPr="00E01F6C" w:rsidRDefault="007B5536" w:rsidP="00312F80">
      <w:pPr>
        <w:pStyle w:val="Heading2"/>
        <w:rPr>
          <w:rFonts w:hint="eastAsia"/>
          <w:color w:val="033323"/>
        </w:rPr>
      </w:pPr>
      <w:bookmarkStart w:id="8" w:name="_Toc88562230"/>
      <w:r>
        <w:rPr>
          <w:color w:val="033323"/>
        </w:rPr>
        <w:t>Declaration</w:t>
      </w:r>
      <w:r w:rsidR="00312F80" w:rsidRPr="00E01F6C">
        <w:rPr>
          <w:color w:val="033323"/>
        </w:rPr>
        <w:t>:</w:t>
      </w:r>
      <w:bookmarkEnd w:id="8"/>
    </w:p>
    <w:p w:rsidR="00312F80" w:rsidRDefault="00312F80" w:rsidP="006E20D7">
      <w:pPr>
        <w:pStyle w:val="Nospace"/>
        <w:spacing w:after="360"/>
      </w:pPr>
      <w:r>
        <w:t>To the best of my knowledge, the information provided in this public</w:t>
      </w:r>
      <w:r w:rsidR="006E20D7">
        <w:t xml:space="preserve"> </w:t>
      </w:r>
      <w:r>
        <w:t>disclosure statement is true and correct and meets the requirements</w:t>
      </w:r>
      <w:r w:rsidR="006E20D7">
        <w:t xml:space="preserve"> </w:t>
      </w:r>
      <w:r>
        <w:t>of the Climate Active Carbon Neutral Standard.</w:t>
      </w:r>
    </w:p>
    <w:p w:rsidR="00312F80" w:rsidRPr="00DF7248" w:rsidRDefault="006E20D7" w:rsidP="00312F80">
      <w:pPr>
        <w:pStyle w:val="Nospace"/>
      </w:pPr>
      <w:r>
        <w:t>Krista Milne</w:t>
      </w:r>
    </w:p>
    <w:p w:rsidR="00312F80" w:rsidRDefault="006E20D7" w:rsidP="00312F80">
      <w:pPr>
        <w:pStyle w:val="Nospace"/>
      </w:pPr>
      <w:r>
        <w:t>Co-Director, Climate Change and City Resilience</w:t>
      </w:r>
    </w:p>
    <w:p w:rsidR="00020B35" w:rsidRPr="00C216EF" w:rsidRDefault="006E20D7" w:rsidP="00892971">
      <w:pPr>
        <w:pStyle w:val="Nospace"/>
        <w:spacing w:after="6840"/>
      </w:pPr>
      <w:r>
        <w:t>6 August</w:t>
      </w:r>
      <w:r w:rsidR="00312F80">
        <w:t xml:space="preserve"> 2021</w:t>
      </w:r>
    </w:p>
    <w:p w:rsidR="00743804" w:rsidRPr="00063950" w:rsidRDefault="00B152AF" w:rsidP="00796D9B">
      <w:pPr>
        <w:pStyle w:val="Heading1"/>
        <w:numPr>
          <w:ilvl w:val="0"/>
          <w:numId w:val="20"/>
        </w:numPr>
        <w:ind w:left="426" w:hanging="437"/>
        <w:rPr>
          <w:rFonts w:hint="eastAsia"/>
          <w:color w:val="033323"/>
        </w:rPr>
      </w:pPr>
      <w:bookmarkStart w:id="9" w:name="_Toc403992345"/>
      <w:bookmarkStart w:id="10" w:name="_Toc403992580"/>
      <w:r>
        <w:rPr>
          <w:rFonts w:hint="eastAsia"/>
        </w:rPr>
        <w:br w:type="page"/>
      </w:r>
      <w:bookmarkEnd w:id="9"/>
      <w:bookmarkEnd w:id="10"/>
      <w:r w:rsidR="00743804" w:rsidRPr="00063950">
        <w:rPr>
          <w:color w:val="033323"/>
        </w:rPr>
        <w:lastRenderedPageBreak/>
        <w:t>Carbon neutral information</w:t>
      </w:r>
    </w:p>
    <w:p w:rsidR="00743804" w:rsidRPr="000E068F" w:rsidRDefault="00743804" w:rsidP="00743804">
      <w:bookmarkStart w:id="11" w:name="_Toc403992346"/>
      <w:bookmarkStart w:id="12" w:name="_Toc403992581"/>
      <w:bookmarkStart w:id="13" w:name="_Toc419982220"/>
      <w:bookmarkStart w:id="14" w:name="_Toc419982306"/>
      <w:r w:rsidRPr="000E068F">
        <w:t>Activity data collected from previous occurrences of this event has informed the preparation of this carbon inventory.</w:t>
      </w:r>
    </w:p>
    <w:bookmarkEnd w:id="11"/>
    <w:bookmarkEnd w:id="12"/>
    <w:bookmarkEnd w:id="13"/>
    <w:bookmarkEnd w:id="14"/>
    <w:p w:rsidR="00743804" w:rsidRPr="00063950" w:rsidRDefault="00743804" w:rsidP="00AD2B6E">
      <w:pPr>
        <w:rPr>
          <w:rFonts w:ascii="Arial Bold" w:eastAsia="MS Gothic" w:hAnsi="Arial Bold" w:hint="eastAsia"/>
          <w:bCs/>
          <w:color w:val="033323"/>
          <w:sz w:val="24"/>
          <w:szCs w:val="26"/>
          <w:lang w:val="en-US"/>
        </w:rPr>
      </w:pPr>
      <w:r w:rsidRPr="00063950">
        <w:rPr>
          <w:rFonts w:ascii="Arial Bold" w:eastAsia="MS Gothic" w:hAnsi="Arial Bold"/>
          <w:bCs/>
          <w:color w:val="033323"/>
          <w:sz w:val="24"/>
          <w:szCs w:val="26"/>
          <w:lang w:val="en-US"/>
        </w:rPr>
        <w:t>Event introduction</w:t>
      </w:r>
    </w:p>
    <w:p w:rsidR="00743804" w:rsidRPr="00743804" w:rsidRDefault="00743804" w:rsidP="00743804">
      <w:pPr>
        <w:rPr>
          <w:rStyle w:val="BoldChar"/>
          <w:b w:val="0"/>
        </w:rPr>
      </w:pPr>
      <w:r w:rsidRPr="00743804">
        <w:rPr>
          <w:rStyle w:val="BoldChar"/>
          <w:b w:val="0"/>
        </w:rPr>
        <w:t xml:space="preserve">Melbourne Fashion Week (MFW) is an annual fashion festival which will attract 150,000 attendees to a number of runway shows, industry conversations, VIP events </w:t>
      </w:r>
      <w:r>
        <w:rPr>
          <w:rStyle w:val="BoldChar"/>
          <w:b w:val="0"/>
        </w:rPr>
        <w:t xml:space="preserve">and shopping experiences in </w:t>
      </w:r>
      <w:r w:rsidR="00C26F2B">
        <w:rPr>
          <w:rStyle w:val="BoldChar"/>
          <w:b w:val="0"/>
        </w:rPr>
        <w:t>Melbourne.</w:t>
      </w:r>
    </w:p>
    <w:p w:rsidR="00743804" w:rsidRPr="00743804" w:rsidRDefault="00743804" w:rsidP="00743804">
      <w:pPr>
        <w:rPr>
          <w:rStyle w:val="BoldChar"/>
          <w:b w:val="0"/>
        </w:rPr>
      </w:pPr>
      <w:r w:rsidRPr="00743804">
        <w:rPr>
          <w:rStyle w:val="BoldChar"/>
          <w:b w:val="0"/>
        </w:rPr>
        <w:t>Melbourne Fashion Week is entirely owned and managed by the City of Melbourne and has been certi</w:t>
      </w:r>
      <w:r>
        <w:rPr>
          <w:rStyle w:val="BoldChar"/>
          <w:b w:val="0"/>
        </w:rPr>
        <w:t>fied carbon neutral by Climate A</w:t>
      </w:r>
      <w:r w:rsidRPr="00743804">
        <w:rPr>
          <w:rStyle w:val="BoldChar"/>
          <w:b w:val="0"/>
        </w:rPr>
        <w:t>ctive in 2018 and 2019. Certification was not sought in 2020</w:t>
      </w:r>
      <w:r>
        <w:rPr>
          <w:rStyle w:val="BoldChar"/>
          <w:b w:val="0"/>
        </w:rPr>
        <w:t>,</w:t>
      </w:r>
      <w:r w:rsidRPr="00743804">
        <w:rPr>
          <w:rStyle w:val="BoldChar"/>
          <w:b w:val="0"/>
        </w:rPr>
        <w:t xml:space="preserve"> as the event was drastically altered due to COVID19, making it incomparable to previous years. The event for 2021 sees a return to regular programming with new runway locations and dining experiences being added to stimulate more economic activity in Melbourne. The key locations for MFW runways in 2021 include; Federation Square, The Melbourne Aquarium, The Regent Theatre, the Secret Garden at Melbourne Botanical Gardens, the North Melbourne Meat Market and Rialto Towers.</w:t>
      </w:r>
    </w:p>
    <w:p w:rsidR="00743804" w:rsidRPr="00743804" w:rsidRDefault="00743804" w:rsidP="00743804">
      <w:pPr>
        <w:rPr>
          <w:rStyle w:val="BoldChar"/>
          <w:b w:val="0"/>
        </w:rPr>
      </w:pPr>
      <w:r w:rsidRPr="00743804">
        <w:rPr>
          <w:rStyle w:val="BoldChar"/>
          <w:b w:val="0"/>
        </w:rPr>
        <w:t>Events and activations are classified for emissions repor</w:t>
      </w:r>
      <w:r w:rsidR="00C26F2B">
        <w:rPr>
          <w:rStyle w:val="BoldChar"/>
          <w:b w:val="0"/>
        </w:rPr>
        <w:t>ting purposes into three tiers:</w:t>
      </w:r>
    </w:p>
    <w:p w:rsidR="00C26F2B" w:rsidRDefault="00743804" w:rsidP="00C26F2B">
      <w:pPr>
        <w:pStyle w:val="ListBullet"/>
        <w:numPr>
          <w:ilvl w:val="0"/>
          <w:numId w:val="0"/>
        </w:numPr>
        <w:ind w:left="357"/>
        <w:rPr>
          <w:rStyle w:val="BoldChar"/>
          <w:b w:val="0"/>
        </w:rPr>
      </w:pPr>
      <w:r w:rsidRPr="00743804">
        <w:rPr>
          <w:rStyle w:val="BoldChar"/>
          <w:b w:val="0"/>
        </w:rPr>
        <w:t>Tier one - Events run either directly by City of Melbourne (CoM) or run within a MFW hub</w:t>
      </w:r>
      <w:r w:rsidR="00892971">
        <w:rPr>
          <w:rStyle w:val="BoldChar"/>
          <w:b w:val="0"/>
        </w:rPr>
        <w:t>;</w:t>
      </w:r>
    </w:p>
    <w:p w:rsidR="00C26F2B" w:rsidRDefault="00743804" w:rsidP="00C26F2B">
      <w:pPr>
        <w:pStyle w:val="ListBullet"/>
        <w:numPr>
          <w:ilvl w:val="0"/>
          <w:numId w:val="0"/>
        </w:numPr>
        <w:ind w:left="357"/>
        <w:rPr>
          <w:rStyle w:val="BoldChar"/>
          <w:b w:val="0"/>
        </w:rPr>
      </w:pPr>
      <w:r w:rsidRPr="00743804">
        <w:rPr>
          <w:rStyle w:val="BoldChar"/>
          <w:b w:val="0"/>
        </w:rPr>
        <w:t>Tier two - Events induced by MFW with funding but ru</w:t>
      </w:r>
      <w:r w:rsidR="00C26F2B">
        <w:rPr>
          <w:rStyle w:val="BoldChar"/>
          <w:b w:val="0"/>
        </w:rPr>
        <w:t>n by partner organisations</w:t>
      </w:r>
      <w:r w:rsidR="00892971">
        <w:rPr>
          <w:rStyle w:val="BoldChar"/>
          <w:b w:val="0"/>
        </w:rPr>
        <w:t>,</w:t>
      </w:r>
      <w:r w:rsidR="00C26F2B">
        <w:rPr>
          <w:rStyle w:val="BoldChar"/>
          <w:b w:val="0"/>
        </w:rPr>
        <w:t xml:space="preserve"> and;</w:t>
      </w:r>
    </w:p>
    <w:p w:rsidR="00743804" w:rsidRPr="00743804" w:rsidRDefault="00743804" w:rsidP="00C26F2B">
      <w:pPr>
        <w:pStyle w:val="ListBullet"/>
        <w:numPr>
          <w:ilvl w:val="0"/>
          <w:numId w:val="0"/>
        </w:numPr>
        <w:ind w:left="357"/>
        <w:rPr>
          <w:rStyle w:val="BoldChar"/>
          <w:b w:val="0"/>
        </w:rPr>
      </w:pPr>
      <w:r w:rsidRPr="00743804">
        <w:rPr>
          <w:rStyle w:val="BoldChar"/>
          <w:b w:val="0"/>
        </w:rPr>
        <w:t xml:space="preserve">Tier three </w:t>
      </w:r>
      <w:r>
        <w:rPr>
          <w:rStyle w:val="BoldChar"/>
          <w:b w:val="0"/>
        </w:rPr>
        <w:t>-</w:t>
      </w:r>
      <w:r w:rsidRPr="00743804">
        <w:rPr>
          <w:rStyle w:val="BoldChar"/>
          <w:b w:val="0"/>
        </w:rPr>
        <w:t xml:space="preserve"> Events run by partners under the banner of MFW but without MFW </w:t>
      </w:r>
      <w:r w:rsidR="00C26F2B">
        <w:rPr>
          <w:rStyle w:val="BoldChar"/>
          <w:b w:val="0"/>
        </w:rPr>
        <w:t>influence or financial support.</w:t>
      </w:r>
    </w:p>
    <w:p w:rsidR="00743804" w:rsidRPr="00743804" w:rsidRDefault="00743804" w:rsidP="00743804">
      <w:pPr>
        <w:rPr>
          <w:rStyle w:val="BoldChar"/>
          <w:b w:val="0"/>
        </w:rPr>
      </w:pPr>
      <w:r w:rsidRPr="00743804">
        <w:rPr>
          <w:rStyle w:val="BoldChar"/>
          <w:b w:val="0"/>
        </w:rPr>
        <w:t>While Tier three events are outside operational control of MFW, they are still included in the scope via an estimate</w:t>
      </w:r>
      <w:r w:rsidR="00C26F2B">
        <w:rPr>
          <w:rStyle w:val="BoldChar"/>
          <w:b w:val="0"/>
        </w:rPr>
        <w:t>,</w:t>
      </w:r>
      <w:r w:rsidRPr="00743804">
        <w:rPr>
          <w:rStyle w:val="BoldChar"/>
          <w:b w:val="0"/>
        </w:rPr>
        <w:t xml:space="preserve"> which is based on the proportion of total </w:t>
      </w:r>
      <w:r w:rsidR="00C26F2B" w:rsidRPr="00743804">
        <w:rPr>
          <w:rStyle w:val="BoldChar"/>
          <w:b w:val="0"/>
        </w:rPr>
        <w:t>attendees</w:t>
      </w:r>
      <w:r w:rsidRPr="00743804">
        <w:rPr>
          <w:rStyle w:val="BoldChar"/>
          <w:b w:val="0"/>
        </w:rPr>
        <w:t xml:space="preserve"> at tier three events. In previous years this has been estimated at 15% but this has been revised down to a 10% based on more programming being brought into the ‘tier one’ category.  An uplift factor of 10% is applied to the emissions invento</w:t>
      </w:r>
      <w:r w:rsidR="00C26F2B">
        <w:rPr>
          <w:rStyle w:val="BoldChar"/>
          <w:b w:val="0"/>
        </w:rPr>
        <w:t>ry to cover Tier three events.</w:t>
      </w:r>
    </w:p>
    <w:p w:rsidR="004A26E3" w:rsidRDefault="00743804" w:rsidP="00C26F2B">
      <w:pPr>
        <w:rPr>
          <w:rStyle w:val="BoldChar"/>
          <w:b w:val="0"/>
        </w:rPr>
      </w:pPr>
      <w:r w:rsidRPr="00743804">
        <w:rPr>
          <w:rStyle w:val="BoldChar"/>
          <w:b w:val="0"/>
        </w:rPr>
        <w:t>New methods of emissions calculation through the Climate Active calculator for events will see a shift in emissions sources. These new methods put a focus on contractors and service providers where emissions reduction is more difficult to achieve as emissions are calculated via a kilogram per dollar spent factor. Emissions reduction efforts are continuing to be made within the activities under operat</w:t>
      </w:r>
      <w:r>
        <w:rPr>
          <w:rStyle w:val="BoldChar"/>
          <w:b w:val="0"/>
        </w:rPr>
        <w:t>ional control of the MFW team.</w:t>
      </w:r>
    </w:p>
    <w:p w:rsidR="00C26F2B" w:rsidRPr="00063950" w:rsidRDefault="00C26F2B" w:rsidP="00796D9B">
      <w:pPr>
        <w:pStyle w:val="Heading1"/>
        <w:numPr>
          <w:ilvl w:val="0"/>
          <w:numId w:val="20"/>
        </w:numPr>
        <w:ind w:left="426" w:hanging="437"/>
        <w:rPr>
          <w:rStyle w:val="Heading1Char"/>
          <w:rFonts w:hint="eastAsia"/>
          <w:color w:val="033323"/>
        </w:rPr>
      </w:pPr>
      <w:r w:rsidRPr="00063950">
        <w:rPr>
          <w:rStyle w:val="Heading1Char"/>
          <w:color w:val="033323"/>
        </w:rPr>
        <w:t>Emissions reduction measures</w:t>
      </w:r>
    </w:p>
    <w:p w:rsidR="00C26F2B" w:rsidRPr="00C26F2B" w:rsidRDefault="00C26F2B" w:rsidP="00C26F2B">
      <w:r w:rsidRPr="00C26F2B">
        <w:t>The following actions have been identified as emissions reduction opportunities for MFW 2021</w:t>
      </w:r>
      <w:r w:rsidR="00892971">
        <w:t>:</w:t>
      </w:r>
    </w:p>
    <w:p w:rsidR="00C26F2B" w:rsidRPr="00C26F2B" w:rsidRDefault="00C26F2B" w:rsidP="00C26F2B">
      <w:r w:rsidRPr="00C26F2B">
        <w:rPr>
          <w:b/>
        </w:rPr>
        <w:t>Producing digital runways and online access to live runw</w:t>
      </w:r>
      <w:r>
        <w:rPr>
          <w:b/>
        </w:rPr>
        <w:t>ay shows</w:t>
      </w:r>
      <w:r w:rsidRPr="00C26F2B">
        <w:rPr>
          <w:b/>
        </w:rPr>
        <w:t>:</w:t>
      </w:r>
      <w:r w:rsidRPr="00C26F2B">
        <w:t xml:space="preserve"> Many events will be streamed virtually in 2021 as a direct result of the risk COVID19 has on event delivery.</w:t>
      </w:r>
    </w:p>
    <w:p w:rsidR="00C26F2B" w:rsidRPr="00C26F2B" w:rsidRDefault="00C26F2B" w:rsidP="00C26F2B">
      <w:r w:rsidRPr="00C26F2B">
        <w:rPr>
          <w:b/>
        </w:rPr>
        <w:t>Renewable Electricity:</w:t>
      </w:r>
      <w:r w:rsidRPr="00C26F2B">
        <w:t xml:space="preserve"> At least one MFW venue uses 100 percent renewable energy and other venues are encouraged to purchase GreenPower to reduce the em</w:t>
      </w:r>
      <w:r>
        <w:t>issions from their operations.</w:t>
      </w:r>
    </w:p>
    <w:p w:rsidR="00C26F2B" w:rsidRPr="00C26F2B" w:rsidRDefault="00C26F2B" w:rsidP="00C26F2B">
      <w:r w:rsidRPr="00C26F2B">
        <w:rPr>
          <w:b/>
        </w:rPr>
        <w:t>Reduce virgin materials in fit out:</w:t>
      </w:r>
      <w:r w:rsidRPr="00C26F2B">
        <w:t xml:space="preserve"> The City of Melbourne works with all theming and production contractors to minimize the amount of new materia</w:t>
      </w:r>
      <w:r>
        <w:t>l used in construction for MFW.</w:t>
      </w:r>
    </w:p>
    <w:p w:rsidR="00C26F2B" w:rsidRPr="00C26F2B" w:rsidRDefault="00C26F2B" w:rsidP="00C26F2B">
      <w:r w:rsidRPr="00C26F2B">
        <w:rPr>
          <w:b/>
        </w:rPr>
        <w:t>Sustainable transport communication:</w:t>
      </w:r>
      <w:r w:rsidRPr="00C26F2B">
        <w:t xml:space="preserve"> It is now well understood that attendee transport is the largest single emissions source for CoM major events. Attendees to MFW 2021 are encouraged to walk, cycle or take a tram to re</w:t>
      </w:r>
      <w:r>
        <w:t>duce their transport emissions.</w:t>
      </w:r>
    </w:p>
    <w:p w:rsidR="00C26F2B" w:rsidRPr="00063950" w:rsidRDefault="00C26F2B" w:rsidP="00796D9B">
      <w:pPr>
        <w:pStyle w:val="Heading1"/>
        <w:numPr>
          <w:ilvl w:val="0"/>
          <w:numId w:val="20"/>
        </w:numPr>
        <w:ind w:left="426" w:hanging="437"/>
        <w:rPr>
          <w:rStyle w:val="Heading1Char"/>
          <w:rFonts w:hint="eastAsia"/>
          <w:bCs/>
          <w:color w:val="033323"/>
        </w:rPr>
      </w:pPr>
      <w:r w:rsidRPr="00063950">
        <w:rPr>
          <w:rStyle w:val="Heading1Char"/>
          <w:bCs/>
          <w:color w:val="033323"/>
        </w:rPr>
        <w:lastRenderedPageBreak/>
        <w:t>Emissions boundary</w:t>
      </w:r>
    </w:p>
    <w:p w:rsidR="00C26F2B" w:rsidRPr="00063950" w:rsidRDefault="00C26F2B" w:rsidP="00C26F2B">
      <w:pPr>
        <w:pStyle w:val="Heading2"/>
        <w:rPr>
          <w:rFonts w:hint="eastAsia"/>
          <w:color w:val="033323"/>
        </w:rPr>
      </w:pPr>
      <w:r w:rsidRPr="00063950">
        <w:rPr>
          <w:color w:val="033323"/>
        </w:rPr>
        <w:t>Emission bo</w:t>
      </w:r>
      <w:r w:rsidR="00796D9B" w:rsidRPr="00063950">
        <w:rPr>
          <w:color w:val="033323"/>
        </w:rPr>
        <w:t>undary d</w:t>
      </w:r>
      <w:r w:rsidRPr="00063950">
        <w:rPr>
          <w:color w:val="033323"/>
        </w:rPr>
        <w:t>iagram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98" w:type="dxa"/>
          <w:right w:w="198" w:type="dxa"/>
        </w:tblCellMar>
        <w:tblLook w:val="04A0" w:firstRow="1" w:lastRow="0" w:firstColumn="1" w:lastColumn="0" w:noHBand="0" w:noVBand="1"/>
      </w:tblPr>
      <w:tblGrid>
        <w:gridCol w:w="3241"/>
        <w:gridCol w:w="3237"/>
        <w:gridCol w:w="3241"/>
      </w:tblGrid>
      <w:tr w:rsidR="00C26F2B" w:rsidRPr="00C7286F" w:rsidTr="00417A0B">
        <w:tc>
          <w:tcPr>
            <w:tcW w:w="6512" w:type="dxa"/>
            <w:gridSpan w:val="2"/>
            <w:tcBorders>
              <w:left w:val="single" w:sz="48" w:space="0" w:color="033323"/>
              <w:right w:val="single" w:sz="48" w:space="0" w:color="033323"/>
            </w:tcBorders>
            <w:shd w:val="clear" w:color="auto" w:fill="033323"/>
            <w:vAlign w:val="center"/>
          </w:tcPr>
          <w:p w:rsidR="00135EF4" w:rsidRPr="00C26F2B" w:rsidRDefault="00C26F2B" w:rsidP="00135EF4">
            <w:pPr>
              <w:pStyle w:val="TableofFigures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C26F2B">
              <w:rPr>
                <w:b/>
              </w:rPr>
              <w:t>missions boundary</w:t>
            </w:r>
          </w:p>
        </w:tc>
        <w:tc>
          <w:tcPr>
            <w:tcW w:w="3257" w:type="dxa"/>
            <w:vMerge w:val="restart"/>
            <w:tcBorders>
              <w:left w:val="single" w:sz="48" w:space="0" w:color="033323"/>
            </w:tcBorders>
            <w:shd w:val="clear" w:color="auto" w:fill="DBEDED"/>
            <w:vAlign w:val="center"/>
          </w:tcPr>
          <w:p w:rsidR="00C26F2B" w:rsidRPr="00C26F2B" w:rsidRDefault="00C26F2B" w:rsidP="00C26F2B">
            <w:pPr>
              <w:pStyle w:val="TableofFigures"/>
              <w:jc w:val="center"/>
              <w:rPr>
                <w:b/>
              </w:rPr>
            </w:pPr>
            <w:r w:rsidRPr="00C26F2B">
              <w:rPr>
                <w:b/>
              </w:rPr>
              <w:t>Excluded</w:t>
            </w:r>
          </w:p>
        </w:tc>
      </w:tr>
      <w:tr w:rsidR="00C26F2B" w:rsidRPr="00C7286F" w:rsidTr="00417A0B">
        <w:tc>
          <w:tcPr>
            <w:tcW w:w="3256" w:type="dxa"/>
            <w:tcBorders>
              <w:top w:val="single" w:sz="48" w:space="0" w:color="033323"/>
              <w:left w:val="single" w:sz="48" w:space="0" w:color="033323"/>
              <w:right w:val="single" w:sz="48" w:space="0" w:color="033323"/>
            </w:tcBorders>
            <w:vAlign w:val="center"/>
          </w:tcPr>
          <w:p w:rsidR="00C26F2B" w:rsidRPr="00C26F2B" w:rsidRDefault="00C26F2B" w:rsidP="00C26F2B">
            <w:pPr>
              <w:pStyle w:val="TableofFigures"/>
              <w:jc w:val="center"/>
              <w:rPr>
                <w:b/>
              </w:rPr>
            </w:pPr>
            <w:r w:rsidRPr="00C26F2B">
              <w:rPr>
                <w:b/>
              </w:rPr>
              <w:t>Quantified</w:t>
            </w:r>
          </w:p>
        </w:tc>
        <w:tc>
          <w:tcPr>
            <w:tcW w:w="3256" w:type="dxa"/>
            <w:tcBorders>
              <w:top w:val="single" w:sz="48" w:space="0" w:color="033323"/>
              <w:left w:val="single" w:sz="48" w:space="0" w:color="033323"/>
              <w:right w:val="single" w:sz="48" w:space="0" w:color="033323"/>
            </w:tcBorders>
            <w:vAlign w:val="center"/>
          </w:tcPr>
          <w:p w:rsidR="00C26F2B" w:rsidRPr="00C26F2B" w:rsidRDefault="00C26F2B" w:rsidP="00C26F2B">
            <w:pPr>
              <w:pStyle w:val="TableofFigures"/>
              <w:jc w:val="center"/>
              <w:rPr>
                <w:b/>
              </w:rPr>
            </w:pPr>
            <w:r w:rsidRPr="00C26F2B">
              <w:rPr>
                <w:b/>
              </w:rPr>
              <w:t>Non-quantified</w:t>
            </w:r>
          </w:p>
        </w:tc>
        <w:tc>
          <w:tcPr>
            <w:tcW w:w="3257" w:type="dxa"/>
            <w:vMerge/>
            <w:tcBorders>
              <w:left w:val="single" w:sz="48" w:space="0" w:color="033323"/>
            </w:tcBorders>
            <w:shd w:val="clear" w:color="auto" w:fill="DBEDED"/>
          </w:tcPr>
          <w:p w:rsidR="00C26F2B" w:rsidRPr="00C26F2B" w:rsidRDefault="00C26F2B" w:rsidP="00C26F2B">
            <w:pPr>
              <w:pStyle w:val="TableofFigures"/>
              <w:jc w:val="center"/>
              <w:rPr>
                <w:b/>
              </w:rPr>
            </w:pPr>
          </w:p>
        </w:tc>
      </w:tr>
      <w:tr w:rsidR="00C26F2B" w:rsidRPr="00103F1F" w:rsidTr="00825AFE">
        <w:tc>
          <w:tcPr>
            <w:tcW w:w="3256" w:type="dxa"/>
            <w:tcBorders>
              <w:left w:val="single" w:sz="48" w:space="0" w:color="033323"/>
              <w:bottom w:val="single" w:sz="48" w:space="0" w:color="033323"/>
              <w:right w:val="single" w:sz="48" w:space="0" w:color="033323"/>
            </w:tcBorders>
          </w:tcPr>
          <w:p w:rsidR="00C26F2B" w:rsidRDefault="00796D9B" w:rsidP="00C26F2B">
            <w:pPr>
              <w:pStyle w:val="TableofFigures"/>
              <w:spacing w:after="120"/>
            </w:pPr>
            <w:r>
              <w:t>Electricity.</w:t>
            </w:r>
          </w:p>
          <w:p w:rsidR="00C26F2B" w:rsidRDefault="00C26F2B" w:rsidP="00C26F2B">
            <w:pPr>
              <w:pStyle w:val="TableofFigures"/>
              <w:spacing w:after="120"/>
            </w:pPr>
            <w:r>
              <w:t>Natural gas</w:t>
            </w:r>
            <w:r w:rsidR="00796D9B">
              <w:t>.</w:t>
            </w:r>
          </w:p>
          <w:p w:rsidR="00C26F2B" w:rsidRDefault="00796D9B" w:rsidP="00C26F2B">
            <w:pPr>
              <w:pStyle w:val="TableofFigures"/>
              <w:spacing w:after="120"/>
            </w:pPr>
            <w:r>
              <w:t>Travel – Ground.</w:t>
            </w:r>
          </w:p>
          <w:p w:rsidR="00C26F2B" w:rsidRDefault="00796D9B" w:rsidP="00C26F2B">
            <w:pPr>
              <w:pStyle w:val="TableofFigures"/>
              <w:spacing w:after="120"/>
            </w:pPr>
            <w:r>
              <w:t>Travel – Flights.</w:t>
            </w:r>
          </w:p>
          <w:p w:rsidR="00C26F2B" w:rsidRDefault="00C26F2B" w:rsidP="00C26F2B">
            <w:pPr>
              <w:pStyle w:val="TableofFigures"/>
              <w:spacing w:after="120"/>
            </w:pPr>
            <w:r>
              <w:t>Accommodation (for talent and partners)</w:t>
            </w:r>
            <w:r w:rsidR="00796D9B">
              <w:t>.</w:t>
            </w:r>
          </w:p>
          <w:p w:rsidR="00C26F2B" w:rsidRDefault="00796D9B" w:rsidP="00C26F2B">
            <w:pPr>
              <w:pStyle w:val="TableofFigures"/>
              <w:spacing w:after="120"/>
            </w:pPr>
            <w:r>
              <w:t>Food and drink.</w:t>
            </w:r>
          </w:p>
          <w:p w:rsidR="00C26F2B" w:rsidRDefault="00C26F2B" w:rsidP="00C26F2B">
            <w:pPr>
              <w:pStyle w:val="TableofFigures"/>
              <w:spacing w:after="120"/>
            </w:pPr>
            <w:r>
              <w:t>Waste and recycling</w:t>
            </w:r>
            <w:r w:rsidR="00796D9B">
              <w:t>.</w:t>
            </w:r>
          </w:p>
          <w:p w:rsidR="00C26F2B" w:rsidRDefault="00C26F2B" w:rsidP="00C26F2B">
            <w:pPr>
              <w:pStyle w:val="TableofFigures"/>
              <w:spacing w:after="120"/>
            </w:pPr>
            <w:r>
              <w:t>Construction materials</w:t>
            </w:r>
            <w:r w:rsidR="00796D9B">
              <w:t>.</w:t>
            </w:r>
          </w:p>
          <w:p w:rsidR="00C26F2B" w:rsidRDefault="00C26F2B" w:rsidP="00C26F2B">
            <w:pPr>
              <w:pStyle w:val="TableofFigures"/>
              <w:spacing w:after="120"/>
            </w:pPr>
            <w:r>
              <w:t>Florals</w:t>
            </w:r>
            <w:r w:rsidR="00796D9B">
              <w:t>.</w:t>
            </w:r>
          </w:p>
          <w:p w:rsidR="00C26F2B" w:rsidRDefault="00892971" w:rsidP="00C26F2B">
            <w:pPr>
              <w:pStyle w:val="TableofFigures"/>
            </w:pPr>
            <w:r>
              <w:t>Professional services:</w:t>
            </w:r>
          </w:p>
          <w:p w:rsidR="00892971" w:rsidRDefault="00C26F2B" w:rsidP="00C26F2B">
            <w:pPr>
              <w:pStyle w:val="ListBullet"/>
              <w:numPr>
                <w:ilvl w:val="0"/>
                <w:numId w:val="23"/>
              </w:numPr>
              <w:ind w:hanging="280"/>
            </w:pPr>
            <w:r>
              <w:t>Advertising and promotion</w:t>
            </w:r>
          </w:p>
          <w:p w:rsidR="00C26F2B" w:rsidRPr="00892971" w:rsidRDefault="00C26F2B" w:rsidP="00C26F2B">
            <w:pPr>
              <w:pStyle w:val="ListBullet"/>
              <w:numPr>
                <w:ilvl w:val="0"/>
                <w:numId w:val="23"/>
              </w:numPr>
              <w:ind w:hanging="280"/>
            </w:pPr>
            <w:r w:rsidRPr="00892971">
              <w:t>Technical services</w:t>
            </w:r>
            <w:r w:rsidR="00796D9B" w:rsidRPr="00892971">
              <w:t>.</w:t>
            </w:r>
          </w:p>
        </w:tc>
        <w:tc>
          <w:tcPr>
            <w:tcW w:w="3256" w:type="dxa"/>
            <w:tcBorders>
              <w:left w:val="single" w:sz="48" w:space="0" w:color="033323"/>
              <w:bottom w:val="single" w:sz="48" w:space="0" w:color="033323"/>
              <w:right w:val="single" w:sz="48" w:space="0" w:color="033323"/>
            </w:tcBorders>
          </w:tcPr>
          <w:p w:rsidR="00C26F2B" w:rsidRDefault="00C26F2B" w:rsidP="00C26F2B">
            <w:pPr>
              <w:pStyle w:val="TableofFigures"/>
              <w:spacing w:after="120"/>
            </w:pPr>
            <w:r>
              <w:t>Tier three events (events which are not financially supported by MFW but which are brought into the program).</w:t>
            </w:r>
          </w:p>
          <w:p w:rsidR="00C26F2B" w:rsidRDefault="00C26F2B" w:rsidP="00C26F2B">
            <w:pPr>
              <w:pStyle w:val="TableofFigures"/>
              <w:spacing w:after="120"/>
            </w:pPr>
            <w:r>
              <w:t>Water – Not a material emissions source as it is less than 1% and difficult to get data from venues.</w:t>
            </w:r>
          </w:p>
          <w:p w:rsidR="00C26F2B" w:rsidRDefault="00C26F2B" w:rsidP="00C26F2B">
            <w:pPr>
              <w:pStyle w:val="TableofFigures"/>
            </w:pPr>
            <w:r>
              <w:t>Small quantity construction materials (less than $100 or 10 kg) – based on previous events, these items combined account for less than 1% and collecting detailed data from contractors is onerous.</w:t>
            </w:r>
          </w:p>
        </w:tc>
        <w:tc>
          <w:tcPr>
            <w:tcW w:w="3257" w:type="dxa"/>
            <w:tcBorders>
              <w:left w:val="single" w:sz="48" w:space="0" w:color="033323"/>
              <w:bottom w:val="single" w:sz="48" w:space="0" w:color="DBEDED"/>
            </w:tcBorders>
            <w:shd w:val="clear" w:color="auto" w:fill="DBEDED"/>
          </w:tcPr>
          <w:p w:rsidR="00C26F2B" w:rsidRDefault="00C26F2B" w:rsidP="00C26F2B">
            <w:pPr>
              <w:pStyle w:val="TableofFigures"/>
              <w:spacing w:after="120"/>
            </w:pPr>
            <w:r>
              <w:t xml:space="preserve">Attendee accommodation – MFW attracts a predominantly local audience. It is reasonably assumed that any interstate or international attendees have not travelled to Melbourne for the </w:t>
            </w:r>
            <w:r w:rsidR="00892971">
              <w:t>purpose of attending the event.</w:t>
            </w:r>
          </w:p>
          <w:p w:rsidR="00C26F2B" w:rsidRDefault="00C26F2B" w:rsidP="00C26F2B">
            <w:pPr>
              <w:pStyle w:val="TableofFigures"/>
              <w:spacing w:after="120"/>
            </w:pPr>
            <w:r>
              <w:t>Cleaning services.</w:t>
            </w:r>
          </w:p>
          <w:p w:rsidR="00C26F2B" w:rsidRPr="00103F1F" w:rsidRDefault="00C26F2B" w:rsidP="00C26F2B">
            <w:pPr>
              <w:pStyle w:val="TableofFigures"/>
            </w:pPr>
            <w:r>
              <w:t>Warehouse electricity use.</w:t>
            </w:r>
          </w:p>
        </w:tc>
      </w:tr>
    </w:tbl>
    <w:p w:rsidR="00796D9B" w:rsidRPr="00063950" w:rsidRDefault="00796D9B" w:rsidP="00796D9B">
      <w:pPr>
        <w:pStyle w:val="Heading1"/>
        <w:numPr>
          <w:ilvl w:val="0"/>
          <w:numId w:val="20"/>
        </w:numPr>
        <w:ind w:left="426" w:hanging="437"/>
        <w:rPr>
          <w:rFonts w:hint="eastAsia"/>
          <w:color w:val="033323"/>
        </w:rPr>
      </w:pPr>
      <w:r w:rsidRPr="00063950">
        <w:rPr>
          <w:color w:val="033323"/>
        </w:rPr>
        <w:t>Emissions summary</w:t>
      </w:r>
    </w:p>
    <w:p w:rsidR="00B1094D" w:rsidRPr="00B1094D" w:rsidRDefault="00B1094D" w:rsidP="00034B17">
      <w:pPr>
        <w:spacing w:after="0"/>
        <w:rPr>
          <w:lang w:val="en-US"/>
        </w:rPr>
      </w:pPr>
      <w:r w:rsidRPr="00B1094D">
        <w:rPr>
          <w:lang w:val="en-US"/>
        </w:rPr>
        <w:t>Table 1 Emissions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796D9B" w:rsidTr="005E1D25">
        <w:tc>
          <w:tcPr>
            <w:tcW w:w="4884" w:type="dxa"/>
            <w:shd w:val="clear" w:color="auto" w:fill="9DD5D7"/>
          </w:tcPr>
          <w:p w:rsidR="00796D9B" w:rsidRPr="00796D9B" w:rsidRDefault="00796D9B" w:rsidP="00796D9B">
            <w:pPr>
              <w:pStyle w:val="TableofFigures"/>
              <w:rPr>
                <w:b/>
              </w:rPr>
            </w:pPr>
            <w:r w:rsidRPr="00796D9B">
              <w:rPr>
                <w:b/>
              </w:rPr>
              <w:t>Emission source category</w:t>
            </w:r>
          </w:p>
        </w:tc>
        <w:tc>
          <w:tcPr>
            <w:tcW w:w="4885" w:type="dxa"/>
            <w:shd w:val="clear" w:color="auto" w:fill="9DD5D7"/>
          </w:tcPr>
          <w:p w:rsidR="00796D9B" w:rsidRPr="00796D9B" w:rsidRDefault="00796D9B" w:rsidP="00796D9B">
            <w:pPr>
              <w:pStyle w:val="TableofFigures"/>
              <w:rPr>
                <w:b/>
              </w:rPr>
            </w:pPr>
            <w:r w:rsidRPr="00796D9B">
              <w:rPr>
                <w:b/>
              </w:rPr>
              <w:t>Tonnes CO</w:t>
            </w:r>
            <w:r w:rsidRPr="00796D9B">
              <w:rPr>
                <w:b/>
                <w:vertAlign w:val="subscript"/>
              </w:rPr>
              <w:t>2</w:t>
            </w:r>
            <w:r w:rsidRPr="00796D9B">
              <w:rPr>
                <w:b/>
              </w:rPr>
              <w:t>-e</w:t>
            </w:r>
          </w:p>
        </w:tc>
      </w:tr>
      <w:tr w:rsidR="00796D9B" w:rsidTr="005E1D25">
        <w:tc>
          <w:tcPr>
            <w:tcW w:w="4884" w:type="dxa"/>
            <w:tcBorders>
              <w:bottom w:val="single" w:sz="4" w:space="0" w:color="9DD5D7"/>
            </w:tcBorders>
          </w:tcPr>
          <w:p w:rsidR="00796D9B" w:rsidRPr="008E6F0C" w:rsidRDefault="00796D9B" w:rsidP="00796D9B">
            <w:pPr>
              <w:pStyle w:val="TableofFigures"/>
            </w:pPr>
            <w:r w:rsidRPr="008E6F0C">
              <w:t>Mains gas</w:t>
            </w:r>
          </w:p>
        </w:tc>
        <w:tc>
          <w:tcPr>
            <w:tcW w:w="4885" w:type="dxa"/>
            <w:tcBorders>
              <w:bottom w:val="single" w:sz="4" w:space="0" w:color="9DD5D7"/>
            </w:tcBorders>
          </w:tcPr>
          <w:p w:rsidR="00796D9B" w:rsidRPr="00384F8C" w:rsidRDefault="00796D9B" w:rsidP="00796D9B">
            <w:pPr>
              <w:pStyle w:val="TableofFigures"/>
            </w:pPr>
            <w:r w:rsidRPr="00384F8C">
              <w:t>0.5</w:t>
            </w:r>
          </w:p>
        </w:tc>
      </w:tr>
      <w:tr w:rsidR="00796D9B" w:rsidTr="005E1D25">
        <w:tc>
          <w:tcPr>
            <w:tcW w:w="4884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8E6F0C" w:rsidRDefault="00796D9B" w:rsidP="00796D9B">
            <w:pPr>
              <w:pStyle w:val="TableofFigures"/>
            </w:pPr>
            <w:r w:rsidRPr="008E6F0C">
              <w:t>Purchased electricity</w:t>
            </w:r>
          </w:p>
        </w:tc>
        <w:tc>
          <w:tcPr>
            <w:tcW w:w="4885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384F8C" w:rsidRDefault="00796D9B" w:rsidP="00796D9B">
            <w:pPr>
              <w:pStyle w:val="TableofFigures"/>
            </w:pPr>
            <w:r w:rsidRPr="00384F8C">
              <w:t>23.5</w:t>
            </w:r>
          </w:p>
        </w:tc>
      </w:tr>
      <w:tr w:rsidR="00796D9B" w:rsidTr="005E1D25">
        <w:tc>
          <w:tcPr>
            <w:tcW w:w="4884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8E6F0C" w:rsidRDefault="00796D9B" w:rsidP="00796D9B">
            <w:pPr>
              <w:pStyle w:val="TableofFigures"/>
            </w:pPr>
            <w:r w:rsidRPr="008E6F0C">
              <w:t>General waste</w:t>
            </w:r>
          </w:p>
        </w:tc>
        <w:tc>
          <w:tcPr>
            <w:tcW w:w="4885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384F8C" w:rsidRDefault="00796D9B" w:rsidP="00796D9B">
            <w:pPr>
              <w:pStyle w:val="TableofFigures"/>
            </w:pPr>
            <w:r w:rsidRPr="00384F8C">
              <w:t>10.4</w:t>
            </w:r>
          </w:p>
        </w:tc>
      </w:tr>
      <w:tr w:rsidR="00796D9B" w:rsidTr="005E1D25">
        <w:tc>
          <w:tcPr>
            <w:tcW w:w="4884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8E6F0C" w:rsidRDefault="00796D9B" w:rsidP="00796D9B">
            <w:pPr>
              <w:pStyle w:val="TableofFigures"/>
            </w:pPr>
            <w:r w:rsidRPr="008E6F0C">
              <w:t>New construction materials</w:t>
            </w:r>
          </w:p>
        </w:tc>
        <w:tc>
          <w:tcPr>
            <w:tcW w:w="4885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384F8C" w:rsidRDefault="00796D9B" w:rsidP="00796D9B">
            <w:pPr>
              <w:pStyle w:val="TableofFigures"/>
            </w:pPr>
            <w:r w:rsidRPr="00384F8C">
              <w:t>23.7</w:t>
            </w:r>
          </w:p>
        </w:tc>
      </w:tr>
      <w:tr w:rsidR="00796D9B" w:rsidTr="005E1D25">
        <w:tc>
          <w:tcPr>
            <w:tcW w:w="4884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8E6F0C" w:rsidRDefault="00796D9B" w:rsidP="00796D9B">
            <w:pPr>
              <w:pStyle w:val="TableofFigures"/>
            </w:pPr>
            <w:r w:rsidRPr="008E6F0C">
              <w:t>Domestic flights</w:t>
            </w:r>
          </w:p>
        </w:tc>
        <w:tc>
          <w:tcPr>
            <w:tcW w:w="4885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384F8C" w:rsidRDefault="00796D9B" w:rsidP="00796D9B">
            <w:pPr>
              <w:pStyle w:val="TableofFigures"/>
            </w:pPr>
            <w:r w:rsidRPr="00384F8C">
              <w:t>4.4</w:t>
            </w:r>
          </w:p>
        </w:tc>
      </w:tr>
      <w:tr w:rsidR="00796D9B" w:rsidTr="005E1D25">
        <w:tc>
          <w:tcPr>
            <w:tcW w:w="4884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8E6F0C" w:rsidRDefault="00796D9B" w:rsidP="00796D9B">
            <w:pPr>
              <w:pStyle w:val="TableofFigures"/>
            </w:pPr>
            <w:r w:rsidRPr="008E6F0C">
              <w:t>Accommodation</w:t>
            </w:r>
          </w:p>
        </w:tc>
        <w:tc>
          <w:tcPr>
            <w:tcW w:w="4885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384F8C" w:rsidRDefault="00796D9B" w:rsidP="00796D9B">
            <w:pPr>
              <w:pStyle w:val="TableofFigures"/>
            </w:pPr>
            <w:r w:rsidRPr="00384F8C">
              <w:t>4.5</w:t>
            </w:r>
          </w:p>
        </w:tc>
      </w:tr>
      <w:tr w:rsidR="00796D9B" w:rsidTr="005E1D25">
        <w:tc>
          <w:tcPr>
            <w:tcW w:w="4884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8E6F0C" w:rsidRDefault="00796D9B" w:rsidP="00796D9B">
            <w:pPr>
              <w:pStyle w:val="TableofFigures"/>
            </w:pPr>
            <w:r w:rsidRPr="008E6F0C">
              <w:t>Attendee travel</w:t>
            </w:r>
          </w:p>
        </w:tc>
        <w:tc>
          <w:tcPr>
            <w:tcW w:w="4885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384F8C" w:rsidRDefault="00796D9B" w:rsidP="00796D9B">
            <w:pPr>
              <w:pStyle w:val="TableofFigures"/>
            </w:pPr>
            <w:r w:rsidRPr="00384F8C">
              <w:t>155.5</w:t>
            </w:r>
          </w:p>
        </w:tc>
      </w:tr>
      <w:tr w:rsidR="00796D9B" w:rsidTr="005E1D25">
        <w:tc>
          <w:tcPr>
            <w:tcW w:w="4884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6D0765" w:rsidRDefault="00796D9B" w:rsidP="00796D9B">
            <w:pPr>
              <w:pStyle w:val="TableofFigures"/>
            </w:pPr>
            <w:r w:rsidRPr="006D0765">
              <w:t>Drinks</w:t>
            </w:r>
          </w:p>
        </w:tc>
        <w:tc>
          <w:tcPr>
            <w:tcW w:w="4885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384F8C" w:rsidRDefault="00796D9B" w:rsidP="00796D9B">
            <w:pPr>
              <w:pStyle w:val="TableofFigures"/>
            </w:pPr>
            <w:r w:rsidRPr="00384F8C">
              <w:t>22.8</w:t>
            </w:r>
          </w:p>
        </w:tc>
      </w:tr>
      <w:tr w:rsidR="00796D9B" w:rsidTr="005E1D25">
        <w:tc>
          <w:tcPr>
            <w:tcW w:w="4884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6D0765" w:rsidRDefault="00796D9B" w:rsidP="00796D9B">
            <w:pPr>
              <w:pStyle w:val="TableofFigures"/>
            </w:pPr>
            <w:r w:rsidRPr="006D0765">
              <w:t xml:space="preserve">Food </w:t>
            </w:r>
          </w:p>
        </w:tc>
        <w:tc>
          <w:tcPr>
            <w:tcW w:w="4885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384F8C" w:rsidRDefault="00796D9B" w:rsidP="00796D9B">
            <w:pPr>
              <w:pStyle w:val="TableofFigures"/>
            </w:pPr>
            <w:r w:rsidRPr="00384F8C">
              <w:t>66.6</w:t>
            </w:r>
          </w:p>
        </w:tc>
      </w:tr>
      <w:tr w:rsidR="00796D9B" w:rsidTr="005E1D25">
        <w:tc>
          <w:tcPr>
            <w:tcW w:w="4884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6D0765" w:rsidRDefault="00796D9B" w:rsidP="00796D9B">
            <w:pPr>
              <w:pStyle w:val="TableofFigures"/>
            </w:pPr>
            <w:r w:rsidRPr="006D0765">
              <w:t>Florals</w:t>
            </w:r>
          </w:p>
        </w:tc>
        <w:tc>
          <w:tcPr>
            <w:tcW w:w="4885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384F8C" w:rsidRDefault="00796D9B" w:rsidP="00796D9B">
            <w:pPr>
              <w:pStyle w:val="TableofFigures"/>
            </w:pPr>
            <w:r w:rsidRPr="00384F8C">
              <w:t>16.5</w:t>
            </w:r>
          </w:p>
        </w:tc>
      </w:tr>
      <w:tr w:rsidR="00796D9B" w:rsidTr="005E1D25">
        <w:tc>
          <w:tcPr>
            <w:tcW w:w="4884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6D0765" w:rsidRDefault="00796D9B" w:rsidP="00796D9B">
            <w:pPr>
              <w:pStyle w:val="TableofFigures"/>
            </w:pPr>
            <w:r w:rsidRPr="006D0765">
              <w:t>Advertising and promotion - Services</w:t>
            </w:r>
          </w:p>
        </w:tc>
        <w:tc>
          <w:tcPr>
            <w:tcW w:w="4885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384F8C" w:rsidRDefault="00796D9B" w:rsidP="00796D9B">
            <w:pPr>
              <w:pStyle w:val="TableofFigures"/>
            </w:pPr>
            <w:r w:rsidRPr="00384F8C">
              <w:t>86.7</w:t>
            </w:r>
          </w:p>
        </w:tc>
      </w:tr>
      <w:tr w:rsidR="00796D9B" w:rsidTr="005E1D25">
        <w:tc>
          <w:tcPr>
            <w:tcW w:w="4884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6D0765" w:rsidRDefault="00892971" w:rsidP="00796D9B">
            <w:pPr>
              <w:pStyle w:val="TableofFigures"/>
            </w:pPr>
            <w:r>
              <w:t>Technical services</w:t>
            </w:r>
          </w:p>
        </w:tc>
        <w:tc>
          <w:tcPr>
            <w:tcW w:w="4885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384F8C" w:rsidRDefault="00796D9B" w:rsidP="00796D9B">
            <w:pPr>
              <w:pStyle w:val="TableofFigures"/>
            </w:pPr>
            <w:r w:rsidRPr="00384F8C">
              <w:t>194.3</w:t>
            </w:r>
          </w:p>
        </w:tc>
      </w:tr>
      <w:tr w:rsidR="00796D9B" w:rsidTr="005E1D25">
        <w:tc>
          <w:tcPr>
            <w:tcW w:w="4884" w:type="dxa"/>
            <w:tcBorders>
              <w:top w:val="single" w:sz="4" w:space="0" w:color="9DD5D7"/>
              <w:bottom w:val="single" w:sz="4" w:space="0" w:color="9DD5D7"/>
            </w:tcBorders>
            <w:shd w:val="clear" w:color="auto" w:fill="E6F4F3"/>
          </w:tcPr>
          <w:p w:rsidR="00796D9B" w:rsidRPr="005E1D25" w:rsidRDefault="00796D9B" w:rsidP="0027445B">
            <w:pPr>
              <w:pStyle w:val="TableofFigures"/>
              <w:jc w:val="right"/>
              <w:rPr>
                <w:b/>
              </w:rPr>
            </w:pPr>
            <w:r w:rsidRPr="005E1D25">
              <w:rPr>
                <w:b/>
              </w:rPr>
              <w:t>Total tCO</w:t>
            </w:r>
            <w:r w:rsidRPr="005E1D25">
              <w:rPr>
                <w:b/>
                <w:vertAlign w:val="subscript"/>
              </w:rPr>
              <w:t>2</w:t>
            </w:r>
            <w:r w:rsidRPr="005E1D25">
              <w:rPr>
                <w:b/>
              </w:rPr>
              <w:t>-e</w:t>
            </w:r>
          </w:p>
        </w:tc>
        <w:tc>
          <w:tcPr>
            <w:tcW w:w="4885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384F8C" w:rsidRDefault="00796D9B" w:rsidP="00796D9B">
            <w:pPr>
              <w:pStyle w:val="TableofFigures"/>
            </w:pPr>
            <w:r w:rsidRPr="00384F8C">
              <w:t>609.4</w:t>
            </w:r>
          </w:p>
        </w:tc>
      </w:tr>
      <w:tr w:rsidR="00796D9B" w:rsidTr="005E1D25">
        <w:tc>
          <w:tcPr>
            <w:tcW w:w="4884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6D0765" w:rsidRDefault="00892971" w:rsidP="00796D9B">
            <w:pPr>
              <w:pStyle w:val="TableofFigures"/>
            </w:pPr>
            <w:r>
              <w:t>10% Uplift factor</w:t>
            </w:r>
          </w:p>
        </w:tc>
        <w:tc>
          <w:tcPr>
            <w:tcW w:w="4885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Pr="00384F8C" w:rsidRDefault="00796D9B" w:rsidP="00796D9B">
            <w:pPr>
              <w:pStyle w:val="TableofFigures"/>
            </w:pPr>
            <w:r w:rsidRPr="00384F8C">
              <w:t>61</w:t>
            </w:r>
          </w:p>
        </w:tc>
      </w:tr>
      <w:tr w:rsidR="00796D9B" w:rsidTr="005E1D25">
        <w:tc>
          <w:tcPr>
            <w:tcW w:w="4884" w:type="dxa"/>
            <w:tcBorders>
              <w:top w:val="single" w:sz="4" w:space="0" w:color="9DD5D7"/>
              <w:bottom w:val="single" w:sz="4" w:space="0" w:color="9DD5D7"/>
            </w:tcBorders>
            <w:shd w:val="clear" w:color="auto" w:fill="E6F4F3"/>
          </w:tcPr>
          <w:p w:rsidR="00796D9B" w:rsidRPr="005E1D25" w:rsidRDefault="00796D9B" w:rsidP="0027445B">
            <w:pPr>
              <w:pStyle w:val="TableofFigures"/>
              <w:jc w:val="right"/>
              <w:rPr>
                <w:b/>
              </w:rPr>
            </w:pPr>
            <w:r w:rsidRPr="005E1D25">
              <w:rPr>
                <w:b/>
              </w:rPr>
              <w:lastRenderedPageBreak/>
              <w:t>Total tCO</w:t>
            </w:r>
            <w:r w:rsidRPr="005E1D25">
              <w:rPr>
                <w:b/>
                <w:vertAlign w:val="subscript"/>
              </w:rPr>
              <w:t>2</w:t>
            </w:r>
            <w:r w:rsidRPr="005E1D25">
              <w:rPr>
                <w:b/>
              </w:rPr>
              <w:t>-e + uplift factor</w:t>
            </w:r>
          </w:p>
        </w:tc>
        <w:tc>
          <w:tcPr>
            <w:tcW w:w="4885" w:type="dxa"/>
            <w:tcBorders>
              <w:top w:val="single" w:sz="4" w:space="0" w:color="9DD5D7"/>
              <w:bottom w:val="single" w:sz="4" w:space="0" w:color="9DD5D7"/>
            </w:tcBorders>
          </w:tcPr>
          <w:p w:rsidR="00796D9B" w:rsidRDefault="00796D9B" w:rsidP="00796D9B">
            <w:pPr>
              <w:pStyle w:val="TableofFigures"/>
            </w:pPr>
            <w:r w:rsidRPr="00384F8C">
              <w:t>671</w:t>
            </w:r>
          </w:p>
        </w:tc>
      </w:tr>
      <w:tr w:rsidR="005E1D25" w:rsidTr="00AB3AD1">
        <w:tc>
          <w:tcPr>
            <w:tcW w:w="9769" w:type="dxa"/>
            <w:gridSpan w:val="2"/>
            <w:tcBorders>
              <w:top w:val="single" w:sz="4" w:space="0" w:color="9DD5D7"/>
              <w:bottom w:val="single" w:sz="4" w:space="0" w:color="9DD5D7"/>
            </w:tcBorders>
          </w:tcPr>
          <w:p w:rsidR="005E1D25" w:rsidRPr="00384F8C" w:rsidRDefault="005E1D25" w:rsidP="00796D9B">
            <w:pPr>
              <w:pStyle w:val="TableofFigures"/>
            </w:pPr>
            <w:r w:rsidRPr="006256C6">
              <w:rPr>
                <w:i/>
              </w:rPr>
              <w:t>The 10% uplift factor covers all tier three events which are advertised under the banner of MFW but which are not managed or induced by the City of Melbourne.</w:t>
            </w:r>
          </w:p>
        </w:tc>
      </w:tr>
    </w:tbl>
    <w:p w:rsidR="006256C6" w:rsidRPr="00063950" w:rsidRDefault="006256C6" w:rsidP="006256C6">
      <w:pPr>
        <w:pStyle w:val="Heading1"/>
        <w:numPr>
          <w:ilvl w:val="0"/>
          <w:numId w:val="20"/>
        </w:numPr>
        <w:ind w:left="426" w:hanging="437"/>
        <w:rPr>
          <w:rFonts w:hint="eastAsia"/>
          <w:color w:val="033323"/>
        </w:rPr>
      </w:pPr>
      <w:r w:rsidRPr="00063950">
        <w:rPr>
          <w:color w:val="033323"/>
        </w:rPr>
        <w:t>Electricity calculator outputs</w:t>
      </w:r>
    </w:p>
    <w:p w:rsidR="00B1094D" w:rsidRPr="00B1094D" w:rsidRDefault="00B1094D" w:rsidP="00034B17">
      <w:pPr>
        <w:spacing w:after="0"/>
        <w:rPr>
          <w:lang w:val="en-US"/>
        </w:rPr>
      </w:pPr>
      <w:r w:rsidRPr="00B1094D">
        <w:rPr>
          <w:lang w:val="en-US"/>
        </w:rPr>
        <w:t>Market Based Approach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417"/>
        <w:gridCol w:w="1134"/>
        <w:gridCol w:w="1269"/>
      </w:tblGrid>
      <w:tr w:rsidR="006256C6" w:rsidTr="001448BB">
        <w:tc>
          <w:tcPr>
            <w:tcW w:w="5949" w:type="dxa"/>
            <w:tcBorders>
              <w:bottom w:val="single" w:sz="4" w:space="0" w:color="9DD5D7"/>
            </w:tcBorders>
            <w:shd w:val="clear" w:color="auto" w:fill="A7D4D4"/>
          </w:tcPr>
          <w:p w:rsidR="006256C6" w:rsidRPr="001448BB" w:rsidRDefault="007F3CE6" w:rsidP="006256C6">
            <w:pPr>
              <w:pStyle w:val="TableofFigures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Market Based Approach</w:t>
            </w:r>
          </w:p>
        </w:tc>
        <w:tc>
          <w:tcPr>
            <w:tcW w:w="1417" w:type="dxa"/>
            <w:tcBorders>
              <w:bottom w:val="single" w:sz="4" w:space="0" w:color="9DD5D7"/>
            </w:tcBorders>
            <w:shd w:val="clear" w:color="auto" w:fill="A7D4D4"/>
          </w:tcPr>
          <w:p w:rsidR="006256C6" w:rsidRPr="001448BB" w:rsidRDefault="006256C6" w:rsidP="00463579">
            <w:pPr>
              <w:pStyle w:val="TableofFigures"/>
              <w:jc w:val="center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Activity Data (kWh)</w:t>
            </w:r>
          </w:p>
        </w:tc>
        <w:tc>
          <w:tcPr>
            <w:tcW w:w="1134" w:type="dxa"/>
            <w:tcBorders>
              <w:bottom w:val="single" w:sz="4" w:space="0" w:color="9DD5D7"/>
            </w:tcBorders>
            <w:shd w:val="clear" w:color="auto" w:fill="A7D4D4"/>
          </w:tcPr>
          <w:p w:rsidR="006256C6" w:rsidRPr="001448BB" w:rsidRDefault="006256C6" w:rsidP="00463579">
            <w:pPr>
              <w:pStyle w:val="TableofFigures"/>
              <w:jc w:val="center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Emissions (kgCO2e)</w:t>
            </w:r>
          </w:p>
        </w:tc>
        <w:tc>
          <w:tcPr>
            <w:tcW w:w="1269" w:type="dxa"/>
            <w:tcBorders>
              <w:bottom w:val="single" w:sz="4" w:space="0" w:color="9DD5D7"/>
            </w:tcBorders>
            <w:shd w:val="clear" w:color="auto" w:fill="A7D4D4"/>
          </w:tcPr>
          <w:p w:rsidR="006256C6" w:rsidRPr="001448BB" w:rsidRDefault="006256C6" w:rsidP="00463579">
            <w:pPr>
              <w:pStyle w:val="TableofFigures"/>
              <w:jc w:val="center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Renewable Percentage of total</w:t>
            </w:r>
          </w:p>
        </w:tc>
      </w:tr>
      <w:tr w:rsidR="006256C6" w:rsidTr="00135EF4">
        <w:tc>
          <w:tcPr>
            <w:tcW w:w="5949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6256C6">
            <w:pPr>
              <w:pStyle w:val="TableofFigures"/>
              <w:rPr>
                <w:color w:val="033323"/>
              </w:rPr>
            </w:pPr>
            <w:r w:rsidRPr="001448BB">
              <w:rPr>
                <w:color w:val="033323"/>
              </w:rPr>
              <w:t>Behind the meter consumption of electricity generated</w:t>
            </w:r>
          </w:p>
        </w:tc>
        <w:tc>
          <w:tcPr>
            <w:tcW w:w="1417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0</w:t>
            </w:r>
          </w:p>
        </w:tc>
        <w:tc>
          <w:tcPr>
            <w:tcW w:w="1134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0</w:t>
            </w:r>
          </w:p>
        </w:tc>
        <w:tc>
          <w:tcPr>
            <w:tcW w:w="1269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0%</w:t>
            </w:r>
          </w:p>
        </w:tc>
      </w:tr>
      <w:tr w:rsidR="006256C6" w:rsidTr="00135EF4">
        <w:tc>
          <w:tcPr>
            <w:tcW w:w="5949" w:type="dxa"/>
            <w:tcBorders>
              <w:top w:val="single" w:sz="4" w:space="0" w:color="9DD5D7"/>
              <w:bottom w:val="single" w:sz="4" w:space="0" w:color="9DD5D7"/>
            </w:tcBorders>
            <w:shd w:val="clear" w:color="auto" w:fill="DBEEEE"/>
          </w:tcPr>
          <w:p w:rsidR="006256C6" w:rsidRPr="001448BB" w:rsidRDefault="00572BA5" w:rsidP="006256C6">
            <w:pPr>
              <w:pStyle w:val="TableofFigures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Total non-grid electricity</w:t>
            </w:r>
          </w:p>
        </w:tc>
        <w:tc>
          <w:tcPr>
            <w:tcW w:w="1417" w:type="dxa"/>
            <w:tcBorders>
              <w:top w:val="single" w:sz="4" w:space="0" w:color="9DD5D7"/>
              <w:bottom w:val="single" w:sz="4" w:space="0" w:color="9DD5D7"/>
            </w:tcBorders>
            <w:shd w:val="clear" w:color="auto" w:fill="DBEEEE"/>
          </w:tcPr>
          <w:p w:rsidR="006256C6" w:rsidRPr="001448BB" w:rsidRDefault="006256C6" w:rsidP="00135EF4">
            <w:pPr>
              <w:pStyle w:val="TableofFigures"/>
              <w:jc w:val="center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0</w:t>
            </w:r>
          </w:p>
        </w:tc>
        <w:tc>
          <w:tcPr>
            <w:tcW w:w="1134" w:type="dxa"/>
            <w:tcBorders>
              <w:top w:val="single" w:sz="4" w:space="0" w:color="9DD5D7"/>
              <w:bottom w:val="single" w:sz="4" w:space="0" w:color="9DD5D7"/>
            </w:tcBorders>
            <w:shd w:val="clear" w:color="auto" w:fill="DBEEEE"/>
          </w:tcPr>
          <w:p w:rsidR="006256C6" w:rsidRPr="001448BB" w:rsidRDefault="006256C6" w:rsidP="00135EF4">
            <w:pPr>
              <w:pStyle w:val="TableofFigures"/>
              <w:jc w:val="center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0</w:t>
            </w:r>
          </w:p>
        </w:tc>
        <w:tc>
          <w:tcPr>
            <w:tcW w:w="1269" w:type="dxa"/>
            <w:tcBorders>
              <w:top w:val="single" w:sz="4" w:space="0" w:color="9DD5D7"/>
              <w:bottom w:val="single" w:sz="4" w:space="0" w:color="9DD5D7"/>
            </w:tcBorders>
            <w:shd w:val="clear" w:color="auto" w:fill="DBEEEE"/>
          </w:tcPr>
          <w:p w:rsidR="006256C6" w:rsidRPr="001448BB" w:rsidRDefault="006256C6" w:rsidP="00135EF4">
            <w:pPr>
              <w:pStyle w:val="TableofFigures"/>
              <w:jc w:val="center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0%</w:t>
            </w:r>
          </w:p>
        </w:tc>
      </w:tr>
      <w:tr w:rsidR="006256C6" w:rsidTr="00135EF4">
        <w:tc>
          <w:tcPr>
            <w:tcW w:w="5949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6256C6">
            <w:pPr>
              <w:pStyle w:val="TableofFigures"/>
              <w:rPr>
                <w:color w:val="033323"/>
              </w:rPr>
            </w:pPr>
            <w:r w:rsidRPr="001448BB">
              <w:rPr>
                <w:color w:val="033323"/>
              </w:rPr>
              <w:t>LGC Purchased and retired (kWh) (including PPAs)</w:t>
            </w:r>
          </w:p>
        </w:tc>
        <w:tc>
          <w:tcPr>
            <w:tcW w:w="1417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6,486</w:t>
            </w:r>
          </w:p>
        </w:tc>
        <w:tc>
          <w:tcPr>
            <w:tcW w:w="1134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0</w:t>
            </w:r>
          </w:p>
        </w:tc>
        <w:tc>
          <w:tcPr>
            <w:tcW w:w="1269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19%</w:t>
            </w:r>
          </w:p>
        </w:tc>
      </w:tr>
      <w:tr w:rsidR="006256C6" w:rsidTr="00135EF4">
        <w:tc>
          <w:tcPr>
            <w:tcW w:w="5949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6256C6">
            <w:pPr>
              <w:pStyle w:val="TableofFigures"/>
              <w:rPr>
                <w:color w:val="033323"/>
              </w:rPr>
            </w:pPr>
            <w:r w:rsidRPr="001448BB">
              <w:rPr>
                <w:color w:val="033323"/>
              </w:rPr>
              <w:t>GreenPower</w:t>
            </w:r>
          </w:p>
        </w:tc>
        <w:tc>
          <w:tcPr>
            <w:tcW w:w="1417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0</w:t>
            </w:r>
          </w:p>
        </w:tc>
        <w:tc>
          <w:tcPr>
            <w:tcW w:w="1134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0</w:t>
            </w:r>
          </w:p>
        </w:tc>
        <w:tc>
          <w:tcPr>
            <w:tcW w:w="1269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0%</w:t>
            </w:r>
          </w:p>
        </w:tc>
      </w:tr>
      <w:tr w:rsidR="006256C6" w:rsidTr="00135EF4">
        <w:tc>
          <w:tcPr>
            <w:tcW w:w="5949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6256C6">
            <w:pPr>
              <w:pStyle w:val="TableofFigures"/>
              <w:rPr>
                <w:color w:val="033323"/>
              </w:rPr>
            </w:pPr>
            <w:r w:rsidRPr="001448BB">
              <w:rPr>
                <w:color w:val="033323"/>
              </w:rPr>
              <w:t>Jurisdict</w:t>
            </w:r>
            <w:r w:rsidR="007F3CE6" w:rsidRPr="001448BB">
              <w:rPr>
                <w:color w:val="033323"/>
              </w:rPr>
              <w:t>ional renewables (LGCs retired)</w:t>
            </w:r>
          </w:p>
        </w:tc>
        <w:tc>
          <w:tcPr>
            <w:tcW w:w="1417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0</w:t>
            </w:r>
          </w:p>
        </w:tc>
        <w:tc>
          <w:tcPr>
            <w:tcW w:w="1134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0</w:t>
            </w:r>
          </w:p>
        </w:tc>
        <w:tc>
          <w:tcPr>
            <w:tcW w:w="1269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0%</w:t>
            </w:r>
          </w:p>
        </w:tc>
      </w:tr>
      <w:tr w:rsidR="006256C6" w:rsidTr="00135EF4">
        <w:tc>
          <w:tcPr>
            <w:tcW w:w="5949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6256C6">
            <w:pPr>
              <w:pStyle w:val="TableofFigures"/>
              <w:rPr>
                <w:color w:val="033323"/>
              </w:rPr>
            </w:pPr>
            <w:r w:rsidRPr="001448BB">
              <w:rPr>
                <w:color w:val="033323"/>
              </w:rPr>
              <w:t>Jurisdictional renewables (LRET) (a</w:t>
            </w:r>
            <w:r w:rsidR="00572BA5" w:rsidRPr="001448BB">
              <w:rPr>
                <w:color w:val="033323"/>
              </w:rPr>
              <w:t>pplied to ACT grid electricity)</w:t>
            </w:r>
          </w:p>
        </w:tc>
        <w:tc>
          <w:tcPr>
            <w:tcW w:w="1417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0</w:t>
            </w:r>
          </w:p>
        </w:tc>
        <w:tc>
          <w:tcPr>
            <w:tcW w:w="1134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0</w:t>
            </w:r>
          </w:p>
        </w:tc>
        <w:tc>
          <w:tcPr>
            <w:tcW w:w="1269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0%</w:t>
            </w:r>
          </w:p>
        </w:tc>
      </w:tr>
      <w:tr w:rsidR="006256C6" w:rsidTr="00135EF4">
        <w:tc>
          <w:tcPr>
            <w:tcW w:w="5949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6256C6">
            <w:pPr>
              <w:pStyle w:val="TableofFigures"/>
              <w:rPr>
                <w:color w:val="033323"/>
              </w:rPr>
            </w:pPr>
            <w:r w:rsidRPr="001448BB">
              <w:rPr>
                <w:color w:val="033323"/>
              </w:rPr>
              <w:t>Large Scale Renewable Energy Target (ap</w:t>
            </w:r>
            <w:r w:rsidR="00572BA5" w:rsidRPr="001448BB">
              <w:rPr>
                <w:color w:val="033323"/>
              </w:rPr>
              <w:t>plied to grid electricity only)</w:t>
            </w:r>
          </w:p>
        </w:tc>
        <w:tc>
          <w:tcPr>
            <w:tcW w:w="1417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6,624</w:t>
            </w:r>
          </w:p>
        </w:tc>
        <w:tc>
          <w:tcPr>
            <w:tcW w:w="1134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0</w:t>
            </w:r>
          </w:p>
        </w:tc>
        <w:tc>
          <w:tcPr>
            <w:tcW w:w="1269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19%</w:t>
            </w:r>
          </w:p>
        </w:tc>
      </w:tr>
      <w:tr w:rsidR="006256C6" w:rsidTr="00135EF4">
        <w:tc>
          <w:tcPr>
            <w:tcW w:w="5949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572BA5" w:rsidP="006256C6">
            <w:pPr>
              <w:pStyle w:val="TableofFigures"/>
              <w:rPr>
                <w:color w:val="033323"/>
              </w:rPr>
            </w:pPr>
            <w:r w:rsidRPr="001448BB">
              <w:rPr>
                <w:color w:val="033323"/>
              </w:rPr>
              <w:t>Residual Electricity</w:t>
            </w:r>
          </w:p>
        </w:tc>
        <w:tc>
          <w:tcPr>
            <w:tcW w:w="1417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21,890</w:t>
            </w:r>
          </w:p>
        </w:tc>
        <w:tc>
          <w:tcPr>
            <w:tcW w:w="1134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23,490</w:t>
            </w:r>
          </w:p>
        </w:tc>
        <w:tc>
          <w:tcPr>
            <w:tcW w:w="1269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0%</w:t>
            </w:r>
          </w:p>
        </w:tc>
      </w:tr>
      <w:tr w:rsidR="006256C6" w:rsidTr="00135EF4">
        <w:tc>
          <w:tcPr>
            <w:tcW w:w="5949" w:type="dxa"/>
            <w:tcBorders>
              <w:top w:val="single" w:sz="4" w:space="0" w:color="9DD5D7"/>
            </w:tcBorders>
            <w:shd w:val="clear" w:color="auto" w:fill="DBEEEE"/>
          </w:tcPr>
          <w:p w:rsidR="006256C6" w:rsidRPr="001448BB" w:rsidRDefault="00572BA5" w:rsidP="006256C6">
            <w:pPr>
              <w:pStyle w:val="TableofFigures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Total grid electricity</w:t>
            </w:r>
          </w:p>
        </w:tc>
        <w:tc>
          <w:tcPr>
            <w:tcW w:w="1417" w:type="dxa"/>
            <w:tcBorders>
              <w:top w:val="single" w:sz="4" w:space="0" w:color="9DD5D7"/>
            </w:tcBorders>
            <w:shd w:val="clear" w:color="auto" w:fill="DBEEEE"/>
          </w:tcPr>
          <w:p w:rsidR="006256C6" w:rsidRPr="001448BB" w:rsidRDefault="006256C6" w:rsidP="00135EF4">
            <w:pPr>
              <w:pStyle w:val="TableofFigures"/>
              <w:jc w:val="center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35,000</w:t>
            </w:r>
          </w:p>
        </w:tc>
        <w:tc>
          <w:tcPr>
            <w:tcW w:w="1134" w:type="dxa"/>
            <w:tcBorders>
              <w:top w:val="single" w:sz="4" w:space="0" w:color="9DD5D7"/>
            </w:tcBorders>
            <w:shd w:val="clear" w:color="auto" w:fill="DBEEEE"/>
          </w:tcPr>
          <w:p w:rsidR="006256C6" w:rsidRPr="001448BB" w:rsidRDefault="006256C6" w:rsidP="00135EF4">
            <w:pPr>
              <w:pStyle w:val="TableofFigures"/>
              <w:jc w:val="center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23,490</w:t>
            </w:r>
          </w:p>
        </w:tc>
        <w:tc>
          <w:tcPr>
            <w:tcW w:w="1269" w:type="dxa"/>
            <w:tcBorders>
              <w:top w:val="single" w:sz="4" w:space="0" w:color="9DD5D7"/>
            </w:tcBorders>
            <w:shd w:val="clear" w:color="auto" w:fill="DBEEEE"/>
          </w:tcPr>
          <w:p w:rsidR="006256C6" w:rsidRPr="001448BB" w:rsidRDefault="006256C6" w:rsidP="00135EF4">
            <w:pPr>
              <w:pStyle w:val="TableofFigures"/>
              <w:jc w:val="center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37%</w:t>
            </w:r>
          </w:p>
        </w:tc>
      </w:tr>
      <w:tr w:rsidR="006256C6" w:rsidTr="00135EF4">
        <w:tc>
          <w:tcPr>
            <w:tcW w:w="5949" w:type="dxa"/>
            <w:shd w:val="clear" w:color="auto" w:fill="A7D4D4"/>
          </w:tcPr>
          <w:p w:rsidR="006256C6" w:rsidRPr="001448BB" w:rsidRDefault="006256C6" w:rsidP="006256C6">
            <w:pPr>
              <w:pStyle w:val="TableofFigures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Total Electricity Consumed (grid + non grid)</w:t>
            </w:r>
          </w:p>
        </w:tc>
        <w:tc>
          <w:tcPr>
            <w:tcW w:w="1417" w:type="dxa"/>
            <w:shd w:val="clear" w:color="auto" w:fill="A7D4D4"/>
          </w:tcPr>
          <w:p w:rsidR="006256C6" w:rsidRPr="001448BB" w:rsidRDefault="006256C6" w:rsidP="00135EF4">
            <w:pPr>
              <w:pStyle w:val="TableofFigures"/>
              <w:jc w:val="center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35,000</w:t>
            </w:r>
          </w:p>
        </w:tc>
        <w:tc>
          <w:tcPr>
            <w:tcW w:w="1134" w:type="dxa"/>
            <w:shd w:val="clear" w:color="auto" w:fill="A7D4D4"/>
          </w:tcPr>
          <w:p w:rsidR="006256C6" w:rsidRPr="001448BB" w:rsidRDefault="006256C6" w:rsidP="00135EF4">
            <w:pPr>
              <w:pStyle w:val="TableofFigures"/>
              <w:jc w:val="center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23,490</w:t>
            </w:r>
          </w:p>
        </w:tc>
        <w:tc>
          <w:tcPr>
            <w:tcW w:w="1269" w:type="dxa"/>
            <w:shd w:val="clear" w:color="auto" w:fill="A7D4D4"/>
          </w:tcPr>
          <w:p w:rsidR="006256C6" w:rsidRPr="001448BB" w:rsidRDefault="006256C6" w:rsidP="00135EF4">
            <w:pPr>
              <w:pStyle w:val="TableofFigures"/>
              <w:jc w:val="center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37%</w:t>
            </w:r>
          </w:p>
        </w:tc>
      </w:tr>
      <w:tr w:rsidR="006256C6" w:rsidTr="00135EF4">
        <w:tc>
          <w:tcPr>
            <w:tcW w:w="5949" w:type="dxa"/>
            <w:tcBorders>
              <w:bottom w:val="single" w:sz="4" w:space="0" w:color="9DD5D7"/>
            </w:tcBorders>
          </w:tcPr>
          <w:p w:rsidR="006256C6" w:rsidRPr="001448BB" w:rsidRDefault="00572BA5" w:rsidP="006256C6">
            <w:pPr>
              <w:pStyle w:val="TableofFigures"/>
              <w:rPr>
                <w:color w:val="033323"/>
              </w:rPr>
            </w:pPr>
            <w:r w:rsidRPr="001448BB">
              <w:rPr>
                <w:color w:val="033323"/>
              </w:rPr>
              <w:t>Electricity renewables</w:t>
            </w:r>
          </w:p>
        </w:tc>
        <w:tc>
          <w:tcPr>
            <w:tcW w:w="1417" w:type="dxa"/>
            <w:tcBorders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13,110</w:t>
            </w:r>
          </w:p>
        </w:tc>
        <w:tc>
          <w:tcPr>
            <w:tcW w:w="1134" w:type="dxa"/>
            <w:tcBorders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0</w:t>
            </w:r>
          </w:p>
        </w:tc>
        <w:tc>
          <w:tcPr>
            <w:tcW w:w="1269" w:type="dxa"/>
            <w:tcBorders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</w:p>
        </w:tc>
      </w:tr>
      <w:tr w:rsidR="006256C6" w:rsidTr="00135EF4">
        <w:tc>
          <w:tcPr>
            <w:tcW w:w="5949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572BA5" w:rsidP="006256C6">
            <w:pPr>
              <w:pStyle w:val="TableofFigures"/>
              <w:rPr>
                <w:color w:val="033323"/>
              </w:rPr>
            </w:pPr>
            <w:r w:rsidRPr="001448BB">
              <w:rPr>
                <w:color w:val="033323"/>
              </w:rPr>
              <w:t>Residual Electricity</w:t>
            </w:r>
          </w:p>
        </w:tc>
        <w:tc>
          <w:tcPr>
            <w:tcW w:w="1417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21,890</w:t>
            </w:r>
          </w:p>
        </w:tc>
        <w:tc>
          <w:tcPr>
            <w:tcW w:w="1134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23,490</w:t>
            </w:r>
          </w:p>
        </w:tc>
        <w:tc>
          <w:tcPr>
            <w:tcW w:w="1269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color w:val="033323"/>
              </w:rPr>
            </w:pPr>
          </w:p>
        </w:tc>
      </w:tr>
      <w:tr w:rsidR="006256C6" w:rsidTr="00135EF4">
        <w:tc>
          <w:tcPr>
            <w:tcW w:w="5949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6256C6">
            <w:pPr>
              <w:pStyle w:val="TableofFigures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Exported on-site generated electricity</w:t>
            </w:r>
          </w:p>
        </w:tc>
        <w:tc>
          <w:tcPr>
            <w:tcW w:w="1417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0</w:t>
            </w:r>
          </w:p>
        </w:tc>
        <w:tc>
          <w:tcPr>
            <w:tcW w:w="1134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0</w:t>
            </w:r>
          </w:p>
        </w:tc>
        <w:tc>
          <w:tcPr>
            <w:tcW w:w="1269" w:type="dxa"/>
            <w:tcBorders>
              <w:top w:val="single" w:sz="4" w:space="0" w:color="9DD5D7"/>
              <w:bottom w:val="single" w:sz="4" w:space="0" w:color="9DD5D7"/>
            </w:tcBorders>
          </w:tcPr>
          <w:p w:rsidR="006256C6" w:rsidRPr="001448BB" w:rsidRDefault="006256C6" w:rsidP="00135EF4">
            <w:pPr>
              <w:pStyle w:val="TableofFigures"/>
              <w:jc w:val="center"/>
              <w:rPr>
                <w:b/>
                <w:color w:val="033323"/>
              </w:rPr>
            </w:pPr>
          </w:p>
        </w:tc>
      </w:tr>
      <w:tr w:rsidR="006256C6" w:rsidTr="00135EF4">
        <w:tc>
          <w:tcPr>
            <w:tcW w:w="5949" w:type="dxa"/>
            <w:tcBorders>
              <w:top w:val="single" w:sz="4" w:space="0" w:color="9DD5D7"/>
              <w:bottom w:val="single" w:sz="4" w:space="0" w:color="9DD5D7"/>
            </w:tcBorders>
            <w:shd w:val="clear" w:color="auto" w:fill="A7D4D4"/>
          </w:tcPr>
          <w:p w:rsidR="006256C6" w:rsidRPr="001448BB" w:rsidRDefault="00572BA5" w:rsidP="006256C6">
            <w:pPr>
              <w:pStyle w:val="TableofFigures"/>
              <w:rPr>
                <w:color w:val="033323"/>
              </w:rPr>
            </w:pPr>
            <w:r w:rsidRPr="001448BB">
              <w:rPr>
                <w:color w:val="033323"/>
              </w:rPr>
              <w:t>Emission Footprint (kgCO</w:t>
            </w:r>
            <w:r w:rsidRPr="001448BB">
              <w:rPr>
                <w:color w:val="033323"/>
                <w:vertAlign w:val="subscript"/>
              </w:rPr>
              <w:t>2</w:t>
            </w:r>
            <w:r w:rsidRPr="001448BB">
              <w:rPr>
                <w:color w:val="033323"/>
              </w:rPr>
              <w:t>e)</w:t>
            </w:r>
          </w:p>
        </w:tc>
        <w:tc>
          <w:tcPr>
            <w:tcW w:w="1417" w:type="dxa"/>
            <w:tcBorders>
              <w:top w:val="single" w:sz="4" w:space="0" w:color="9DD5D7"/>
              <w:bottom w:val="single" w:sz="4" w:space="0" w:color="9DD5D7"/>
            </w:tcBorders>
            <w:shd w:val="clear" w:color="auto" w:fill="A7D4D4"/>
          </w:tcPr>
          <w:p w:rsidR="006256C6" w:rsidRPr="001448BB" w:rsidRDefault="006256C6" w:rsidP="00463579">
            <w:pPr>
              <w:pStyle w:val="TableofFigures"/>
              <w:jc w:val="center"/>
              <w:rPr>
                <w:color w:val="033323"/>
              </w:rPr>
            </w:pPr>
          </w:p>
        </w:tc>
        <w:tc>
          <w:tcPr>
            <w:tcW w:w="1134" w:type="dxa"/>
            <w:tcBorders>
              <w:top w:val="single" w:sz="4" w:space="0" w:color="9DD5D7"/>
              <w:bottom w:val="single" w:sz="4" w:space="0" w:color="9DD5D7"/>
            </w:tcBorders>
            <w:shd w:val="clear" w:color="auto" w:fill="A7D4D4"/>
          </w:tcPr>
          <w:p w:rsidR="006256C6" w:rsidRPr="001448BB" w:rsidRDefault="006256C6" w:rsidP="00463579">
            <w:pPr>
              <w:pStyle w:val="TableofFigures"/>
              <w:jc w:val="center"/>
              <w:rPr>
                <w:color w:val="033323"/>
              </w:rPr>
            </w:pPr>
            <w:r w:rsidRPr="001448BB">
              <w:rPr>
                <w:color w:val="033323"/>
              </w:rPr>
              <w:t>23,490</w:t>
            </w:r>
          </w:p>
        </w:tc>
        <w:tc>
          <w:tcPr>
            <w:tcW w:w="1269" w:type="dxa"/>
            <w:tcBorders>
              <w:top w:val="single" w:sz="4" w:space="0" w:color="9DD5D7"/>
              <w:bottom w:val="single" w:sz="4" w:space="0" w:color="9DD5D7"/>
            </w:tcBorders>
            <w:shd w:val="clear" w:color="auto" w:fill="A7D4D4"/>
          </w:tcPr>
          <w:p w:rsidR="006256C6" w:rsidRPr="001448BB" w:rsidRDefault="006256C6" w:rsidP="00463579">
            <w:pPr>
              <w:pStyle w:val="TableofFigures"/>
              <w:jc w:val="center"/>
              <w:rPr>
                <w:color w:val="033323"/>
              </w:rPr>
            </w:pPr>
          </w:p>
        </w:tc>
      </w:tr>
    </w:tbl>
    <w:p w:rsidR="006256C6" w:rsidRDefault="006256C6" w:rsidP="006256C6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9DD5D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417"/>
      </w:tblGrid>
      <w:tr w:rsidR="00463579" w:rsidRPr="00463579" w:rsidTr="001448BB">
        <w:tc>
          <w:tcPr>
            <w:tcW w:w="5949" w:type="dxa"/>
            <w:tcBorders>
              <w:top w:val="single" w:sz="4" w:space="0" w:color="9DD5D7"/>
              <w:bottom w:val="single" w:sz="4" w:space="0" w:color="9DD5D7"/>
            </w:tcBorders>
            <w:shd w:val="clear" w:color="auto" w:fill="A7D4D4"/>
          </w:tcPr>
          <w:p w:rsidR="00463579" w:rsidRPr="001448BB" w:rsidRDefault="00463579" w:rsidP="00BF0FA0">
            <w:pPr>
              <w:pStyle w:val="TableofFigures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Emission Footprint (TCO</w:t>
            </w:r>
            <w:r w:rsidRPr="001448BB">
              <w:rPr>
                <w:b/>
                <w:color w:val="033323"/>
                <w:vertAlign w:val="subscript"/>
              </w:rPr>
              <w:t>2</w:t>
            </w:r>
            <w:r w:rsidRPr="001448BB">
              <w:rPr>
                <w:b/>
                <w:color w:val="033323"/>
              </w:rPr>
              <w:t>e)</w:t>
            </w:r>
          </w:p>
        </w:tc>
        <w:tc>
          <w:tcPr>
            <w:tcW w:w="1417" w:type="dxa"/>
            <w:tcBorders>
              <w:top w:val="single" w:sz="4" w:space="0" w:color="9DD5D7"/>
              <w:bottom w:val="single" w:sz="4" w:space="0" w:color="9DD5D7"/>
            </w:tcBorders>
            <w:shd w:val="clear" w:color="auto" w:fill="A7D4D4"/>
          </w:tcPr>
          <w:p w:rsidR="00463579" w:rsidRPr="001448BB" w:rsidRDefault="00463579" w:rsidP="00BF0FA0">
            <w:pPr>
              <w:pStyle w:val="TableofFigures"/>
              <w:jc w:val="center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23</w:t>
            </w:r>
          </w:p>
        </w:tc>
      </w:tr>
      <w:tr w:rsidR="00463579" w:rsidRPr="00463579" w:rsidTr="001448BB">
        <w:tc>
          <w:tcPr>
            <w:tcW w:w="5949" w:type="dxa"/>
            <w:tcBorders>
              <w:top w:val="single" w:sz="4" w:space="0" w:color="9DD5D7"/>
              <w:bottom w:val="single" w:sz="4" w:space="0" w:color="9DD5D7"/>
            </w:tcBorders>
            <w:shd w:val="clear" w:color="auto" w:fill="DBEEEE"/>
          </w:tcPr>
          <w:p w:rsidR="00463579" w:rsidRPr="001448BB" w:rsidRDefault="00572BA5" w:rsidP="00BF0FA0">
            <w:pPr>
              <w:pStyle w:val="TableofFigures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Mandatory LRET renewables</w:t>
            </w:r>
          </w:p>
        </w:tc>
        <w:tc>
          <w:tcPr>
            <w:tcW w:w="1417" w:type="dxa"/>
            <w:tcBorders>
              <w:top w:val="single" w:sz="4" w:space="0" w:color="9DD5D7"/>
              <w:bottom w:val="single" w:sz="4" w:space="0" w:color="9DD5D7"/>
            </w:tcBorders>
            <w:shd w:val="clear" w:color="auto" w:fill="DBEEEE"/>
          </w:tcPr>
          <w:p w:rsidR="00463579" w:rsidRPr="001448BB" w:rsidRDefault="00463579" w:rsidP="00BF0FA0">
            <w:pPr>
              <w:pStyle w:val="TableofFigures"/>
              <w:jc w:val="center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18.93%</w:t>
            </w:r>
          </w:p>
        </w:tc>
      </w:tr>
      <w:tr w:rsidR="00463579" w:rsidRPr="00463579" w:rsidTr="001448BB">
        <w:tc>
          <w:tcPr>
            <w:tcW w:w="5949" w:type="dxa"/>
            <w:tcBorders>
              <w:top w:val="single" w:sz="4" w:space="0" w:color="9DD5D7"/>
              <w:bottom w:val="single" w:sz="4" w:space="0" w:color="9DD5D7"/>
            </w:tcBorders>
            <w:shd w:val="clear" w:color="auto" w:fill="DBEEEE"/>
          </w:tcPr>
          <w:p w:rsidR="00463579" w:rsidRPr="001448BB" w:rsidRDefault="00572BA5" w:rsidP="00BF0FA0">
            <w:pPr>
              <w:pStyle w:val="TableofFigures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Voluntary Renewable Electricity</w:t>
            </w:r>
          </w:p>
        </w:tc>
        <w:tc>
          <w:tcPr>
            <w:tcW w:w="1417" w:type="dxa"/>
            <w:tcBorders>
              <w:top w:val="single" w:sz="4" w:space="0" w:color="9DD5D7"/>
              <w:bottom w:val="single" w:sz="4" w:space="0" w:color="9DD5D7"/>
            </w:tcBorders>
            <w:shd w:val="clear" w:color="auto" w:fill="DBEEEE"/>
          </w:tcPr>
          <w:p w:rsidR="00463579" w:rsidRPr="001448BB" w:rsidRDefault="00463579" w:rsidP="00BF0FA0">
            <w:pPr>
              <w:pStyle w:val="TableofFigures"/>
              <w:jc w:val="center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18.53%</w:t>
            </w:r>
          </w:p>
        </w:tc>
      </w:tr>
      <w:tr w:rsidR="00463579" w:rsidRPr="00463579" w:rsidTr="001448BB">
        <w:tc>
          <w:tcPr>
            <w:tcW w:w="5949" w:type="dxa"/>
            <w:tcBorders>
              <w:top w:val="single" w:sz="4" w:space="0" w:color="9DD5D7"/>
              <w:bottom w:val="nil"/>
            </w:tcBorders>
            <w:shd w:val="clear" w:color="auto" w:fill="A7D4D4"/>
          </w:tcPr>
          <w:p w:rsidR="00463579" w:rsidRPr="001448BB" w:rsidRDefault="00463579" w:rsidP="00BF0FA0">
            <w:pPr>
              <w:pStyle w:val="TableofFigures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Total renewables</w:t>
            </w:r>
          </w:p>
        </w:tc>
        <w:tc>
          <w:tcPr>
            <w:tcW w:w="1417" w:type="dxa"/>
            <w:tcBorders>
              <w:top w:val="single" w:sz="4" w:space="0" w:color="9DD5D7"/>
              <w:bottom w:val="nil"/>
            </w:tcBorders>
            <w:shd w:val="clear" w:color="auto" w:fill="A7D4D4"/>
          </w:tcPr>
          <w:p w:rsidR="00463579" w:rsidRPr="001448BB" w:rsidRDefault="00463579" w:rsidP="00BF0FA0">
            <w:pPr>
              <w:pStyle w:val="TableofFigures"/>
              <w:jc w:val="center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37.46%</w:t>
            </w:r>
          </w:p>
        </w:tc>
      </w:tr>
    </w:tbl>
    <w:p w:rsidR="00463579" w:rsidRPr="00063950" w:rsidRDefault="00463579" w:rsidP="00463579">
      <w:pPr>
        <w:pStyle w:val="Heading1"/>
        <w:numPr>
          <w:ilvl w:val="0"/>
          <w:numId w:val="20"/>
        </w:numPr>
        <w:ind w:left="426" w:hanging="437"/>
        <w:rPr>
          <w:rFonts w:hint="eastAsia"/>
          <w:color w:val="033323"/>
        </w:rPr>
      </w:pPr>
      <w:r w:rsidRPr="00063950">
        <w:rPr>
          <w:color w:val="033323"/>
        </w:rPr>
        <w:t>Data collection</w:t>
      </w:r>
    </w:p>
    <w:p w:rsidR="00B1094D" w:rsidRPr="00B1094D" w:rsidRDefault="00B1094D" w:rsidP="00034B17">
      <w:pPr>
        <w:spacing w:after="0"/>
        <w:rPr>
          <w:lang w:val="en-US"/>
        </w:rPr>
      </w:pPr>
      <w:r w:rsidRPr="00B1094D">
        <w:rPr>
          <w:lang w:val="en-US"/>
        </w:rPr>
        <w:t>Table 2 Data collection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9DD5D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256"/>
        <w:gridCol w:w="3257"/>
      </w:tblGrid>
      <w:tr w:rsidR="00463579" w:rsidTr="001448BB">
        <w:trPr>
          <w:tblHeader/>
        </w:trPr>
        <w:tc>
          <w:tcPr>
            <w:tcW w:w="3256" w:type="dxa"/>
            <w:tcBorders>
              <w:bottom w:val="single" w:sz="4" w:space="0" w:color="9DD5D7"/>
            </w:tcBorders>
            <w:shd w:val="clear" w:color="auto" w:fill="9DD5D7"/>
            <w:vAlign w:val="center"/>
          </w:tcPr>
          <w:p w:rsidR="00463579" w:rsidRPr="001448BB" w:rsidRDefault="00463579" w:rsidP="00463579">
            <w:pPr>
              <w:pStyle w:val="TableofFigures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Emission source</w:t>
            </w:r>
          </w:p>
        </w:tc>
        <w:tc>
          <w:tcPr>
            <w:tcW w:w="3256" w:type="dxa"/>
            <w:tcBorders>
              <w:bottom w:val="single" w:sz="4" w:space="0" w:color="9DD5D7"/>
            </w:tcBorders>
            <w:shd w:val="clear" w:color="auto" w:fill="9DD5D7"/>
            <w:vAlign w:val="center"/>
          </w:tcPr>
          <w:p w:rsidR="00463579" w:rsidRPr="001448BB" w:rsidRDefault="00463579" w:rsidP="00463579">
            <w:pPr>
              <w:pStyle w:val="TableofFigures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Data collection method</w:t>
            </w:r>
          </w:p>
        </w:tc>
        <w:tc>
          <w:tcPr>
            <w:tcW w:w="3257" w:type="dxa"/>
            <w:tcBorders>
              <w:bottom w:val="single" w:sz="4" w:space="0" w:color="9DD5D7"/>
            </w:tcBorders>
            <w:shd w:val="clear" w:color="auto" w:fill="9DD5D7"/>
            <w:vAlign w:val="center"/>
          </w:tcPr>
          <w:p w:rsidR="00463579" w:rsidRPr="001448BB" w:rsidRDefault="00463579" w:rsidP="00463579">
            <w:pPr>
              <w:pStyle w:val="TableofFigures"/>
              <w:rPr>
                <w:b/>
                <w:color w:val="033323"/>
              </w:rPr>
            </w:pPr>
            <w:r w:rsidRPr="001448BB">
              <w:rPr>
                <w:b/>
                <w:color w:val="033323"/>
              </w:rPr>
              <w:t>Assumptions</w:t>
            </w:r>
          </w:p>
        </w:tc>
      </w:tr>
      <w:tr w:rsidR="00463579" w:rsidTr="001448BB">
        <w:tc>
          <w:tcPr>
            <w:tcW w:w="3256" w:type="dxa"/>
            <w:tcBorders>
              <w:top w:val="single" w:sz="4" w:space="0" w:color="9DD5D7"/>
              <w:bottom w:val="single" w:sz="4" w:space="0" w:color="9DD5D7"/>
            </w:tcBorders>
          </w:tcPr>
          <w:p w:rsidR="00463579" w:rsidRPr="007721FF" w:rsidRDefault="00463579" w:rsidP="00463579">
            <w:pPr>
              <w:pStyle w:val="TableofFigures"/>
            </w:pPr>
            <w:r w:rsidRPr="007721FF">
              <w:t>Travel</w:t>
            </w:r>
          </w:p>
        </w:tc>
        <w:tc>
          <w:tcPr>
            <w:tcW w:w="3256" w:type="dxa"/>
            <w:tcBorders>
              <w:top w:val="single" w:sz="4" w:space="0" w:color="9DD5D7"/>
              <w:bottom w:val="single" w:sz="4" w:space="0" w:color="9DD5D7"/>
            </w:tcBorders>
          </w:tcPr>
          <w:p w:rsidR="00463579" w:rsidRPr="007721FF" w:rsidRDefault="00463579" w:rsidP="00463579">
            <w:pPr>
              <w:pStyle w:val="TableofFigures"/>
            </w:pPr>
            <w:r>
              <w:t>MFW</w:t>
            </w:r>
            <w:r w:rsidRPr="007721FF">
              <w:t xml:space="preserve"> conducts a survey of up to 500 attendees and gathers -</w:t>
            </w:r>
            <w:r w:rsidRPr="007721FF">
              <w:br/>
              <w:t>1) mode of transport and</w:t>
            </w:r>
            <w:r w:rsidRPr="007721FF">
              <w:br/>
              <w:t>2) origin of destination (postcode)</w:t>
            </w:r>
            <w:r w:rsidRPr="007721FF">
              <w:br/>
              <w:t xml:space="preserve">This data is then extrapolated </w:t>
            </w:r>
            <w:r w:rsidRPr="007721FF">
              <w:lastRenderedPageBreak/>
              <w:t>across all attendee numbers and an attribution factor is applied based on whether an attendee attended a paid event, a free eve</w:t>
            </w:r>
            <w:r w:rsidR="00892971">
              <w:t>nt or just an event activation.</w:t>
            </w:r>
          </w:p>
        </w:tc>
        <w:tc>
          <w:tcPr>
            <w:tcW w:w="3257" w:type="dxa"/>
            <w:tcBorders>
              <w:top w:val="single" w:sz="4" w:space="0" w:color="9DD5D7"/>
              <w:bottom w:val="single" w:sz="4" w:space="0" w:color="9DD5D7"/>
            </w:tcBorders>
          </w:tcPr>
          <w:p w:rsidR="00463579" w:rsidRPr="007721FF" w:rsidRDefault="00463579" w:rsidP="00463579">
            <w:pPr>
              <w:pStyle w:val="TableofFigures"/>
            </w:pPr>
            <w:r w:rsidRPr="007721FF">
              <w:lastRenderedPageBreak/>
              <w:t>The extrapolation is representative of true travel distance</w:t>
            </w:r>
          </w:p>
          <w:p w:rsidR="00463579" w:rsidRPr="007721FF" w:rsidRDefault="00463579" w:rsidP="00463579">
            <w:pPr>
              <w:pStyle w:val="TableofFigures"/>
            </w:pPr>
            <w:r w:rsidRPr="007721FF">
              <w:t xml:space="preserve">That the attribution factor accurately represents the proportion of travel than can be </w:t>
            </w:r>
            <w:r w:rsidRPr="007721FF">
              <w:lastRenderedPageBreak/>
              <w:t>attributed to the event versus other activities the attendee may</w:t>
            </w:r>
            <w:r>
              <w:t xml:space="preserve"> have travelled for on that day.</w:t>
            </w:r>
          </w:p>
        </w:tc>
      </w:tr>
      <w:tr w:rsidR="00463579" w:rsidTr="001448BB">
        <w:tc>
          <w:tcPr>
            <w:tcW w:w="3256" w:type="dxa"/>
            <w:tcBorders>
              <w:top w:val="single" w:sz="4" w:space="0" w:color="9DD5D7"/>
              <w:bottom w:val="single" w:sz="4" w:space="0" w:color="9DD5D7"/>
            </w:tcBorders>
          </w:tcPr>
          <w:p w:rsidR="00463579" w:rsidRPr="007721FF" w:rsidRDefault="00892971" w:rsidP="00463579">
            <w:pPr>
              <w:pStyle w:val="TableofFigures"/>
            </w:pPr>
            <w:r>
              <w:lastRenderedPageBreak/>
              <w:t>Accommodation</w:t>
            </w:r>
          </w:p>
        </w:tc>
        <w:tc>
          <w:tcPr>
            <w:tcW w:w="3256" w:type="dxa"/>
            <w:tcBorders>
              <w:top w:val="single" w:sz="4" w:space="0" w:color="9DD5D7"/>
              <w:bottom w:val="single" w:sz="4" w:space="0" w:color="9DD5D7"/>
            </w:tcBorders>
          </w:tcPr>
          <w:p w:rsidR="00463579" w:rsidRPr="007721FF" w:rsidRDefault="00463579" w:rsidP="00463579">
            <w:pPr>
              <w:pStyle w:val="TableofFigures"/>
            </w:pPr>
            <w:r w:rsidRPr="007721FF">
              <w:t xml:space="preserve">Attendee accommodation is not quantified. Accommodation for </w:t>
            </w:r>
            <w:r>
              <w:t>partners and talent</w:t>
            </w:r>
            <w:r w:rsidRPr="007721FF">
              <w:t xml:space="preserve"> is coordinated by </w:t>
            </w:r>
            <w:r>
              <w:t>MFW and its contractors</w:t>
            </w:r>
            <w:r w:rsidRPr="007721FF">
              <w:t xml:space="preserve"> and all b</w:t>
            </w:r>
            <w:r>
              <w:t>ooking information is available.</w:t>
            </w:r>
          </w:p>
        </w:tc>
        <w:tc>
          <w:tcPr>
            <w:tcW w:w="3257" w:type="dxa"/>
            <w:tcBorders>
              <w:top w:val="single" w:sz="4" w:space="0" w:color="9DD5D7"/>
              <w:bottom w:val="single" w:sz="4" w:space="0" w:color="9DD5D7"/>
            </w:tcBorders>
          </w:tcPr>
          <w:p w:rsidR="00463579" w:rsidRPr="007721FF" w:rsidRDefault="00463579" w:rsidP="00463579">
            <w:pPr>
              <w:pStyle w:val="TableofFigures"/>
            </w:pPr>
            <w:r>
              <w:t>MFW</w:t>
            </w:r>
            <w:r w:rsidRPr="007721FF">
              <w:t xml:space="preserve"> is predominantly attended by Victorians or remotely by those outside Victoria</w:t>
            </w:r>
            <w:r>
              <w:t>.</w:t>
            </w:r>
          </w:p>
        </w:tc>
      </w:tr>
      <w:tr w:rsidR="00463579" w:rsidTr="001448BB">
        <w:tc>
          <w:tcPr>
            <w:tcW w:w="3256" w:type="dxa"/>
            <w:tcBorders>
              <w:top w:val="single" w:sz="4" w:space="0" w:color="9DD5D7"/>
              <w:bottom w:val="single" w:sz="4" w:space="0" w:color="9DD5D7"/>
            </w:tcBorders>
          </w:tcPr>
          <w:p w:rsidR="00463579" w:rsidRPr="00F81248" w:rsidRDefault="00892971" w:rsidP="00463579">
            <w:pPr>
              <w:pStyle w:val="TableofFigur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Food</w:t>
            </w:r>
          </w:p>
        </w:tc>
        <w:tc>
          <w:tcPr>
            <w:tcW w:w="3256" w:type="dxa"/>
            <w:tcBorders>
              <w:top w:val="single" w:sz="4" w:space="0" w:color="9DD5D7"/>
              <w:bottom w:val="single" w:sz="4" w:space="0" w:color="9DD5D7"/>
            </w:tcBorders>
          </w:tcPr>
          <w:p w:rsidR="00463579" w:rsidRPr="00E156EA" w:rsidRDefault="00463579" w:rsidP="00463579">
            <w:pPr>
              <w:pStyle w:val="TableofFigures"/>
            </w:pPr>
            <w:r w:rsidRPr="00E156EA">
              <w:t>Data collection sheets are given to those events known to have catering. In most cases catering will be managed by a limited number of suppliers at Venue Hubs. This data can be collect</w:t>
            </w:r>
            <w:r>
              <w:t>ed directly from these caterers.</w:t>
            </w:r>
          </w:p>
        </w:tc>
        <w:tc>
          <w:tcPr>
            <w:tcW w:w="3257" w:type="dxa"/>
            <w:tcBorders>
              <w:top w:val="single" w:sz="4" w:space="0" w:color="9DD5D7"/>
              <w:bottom w:val="single" w:sz="4" w:space="0" w:color="9DD5D7"/>
            </w:tcBorders>
          </w:tcPr>
          <w:p w:rsidR="00463579" w:rsidRPr="00E156EA" w:rsidRDefault="00463579" w:rsidP="00463579">
            <w:pPr>
              <w:pStyle w:val="TableofFigures"/>
            </w:pPr>
            <w:r>
              <w:t>That tier three events utilis</w:t>
            </w:r>
            <w:r w:rsidRPr="00E156EA">
              <w:t>e catering proportionally to hub events thus the subsequent emissions are picke</w:t>
            </w:r>
            <w:r>
              <w:t>d up through the uplift factor.</w:t>
            </w:r>
          </w:p>
        </w:tc>
      </w:tr>
      <w:tr w:rsidR="00463579" w:rsidTr="001448BB">
        <w:tc>
          <w:tcPr>
            <w:tcW w:w="3256" w:type="dxa"/>
            <w:tcBorders>
              <w:top w:val="single" w:sz="4" w:space="0" w:color="9DD5D7"/>
              <w:bottom w:val="single" w:sz="4" w:space="0" w:color="9DD5D7"/>
            </w:tcBorders>
          </w:tcPr>
          <w:p w:rsidR="00463579" w:rsidRPr="00F81248" w:rsidRDefault="00463579" w:rsidP="00463579">
            <w:pPr>
              <w:pStyle w:val="TableofFigures"/>
              <w:rPr>
                <w:color w:val="000000" w:themeColor="text1"/>
              </w:rPr>
            </w:pPr>
            <w:r w:rsidRPr="00F81248">
              <w:rPr>
                <w:color w:val="000000" w:themeColor="text1"/>
              </w:rPr>
              <w:t>Electricity</w:t>
            </w:r>
          </w:p>
        </w:tc>
        <w:tc>
          <w:tcPr>
            <w:tcW w:w="3256" w:type="dxa"/>
            <w:tcBorders>
              <w:top w:val="single" w:sz="4" w:space="0" w:color="9DD5D7"/>
              <w:bottom w:val="single" w:sz="4" w:space="0" w:color="9DD5D7"/>
            </w:tcBorders>
          </w:tcPr>
          <w:p w:rsidR="00463579" w:rsidRPr="00E156EA" w:rsidRDefault="00463579" w:rsidP="00463579">
            <w:pPr>
              <w:pStyle w:val="TableofFigures"/>
            </w:pPr>
            <w:r w:rsidRPr="00E156EA">
              <w:t>Electricity accounts from venue</w:t>
            </w:r>
            <w:r>
              <w:t>s</w:t>
            </w:r>
            <w:r w:rsidRPr="00E156EA">
              <w:t xml:space="preserve"> will be collected and a daily average will be calculated and applied to the number of days the venue is used for M</w:t>
            </w:r>
            <w:r>
              <w:t>FW. For outdoor and large public are runways, additional lighting and sound equipment lists will be used to determine total electricity draw instead of using electricity accounts.</w:t>
            </w:r>
          </w:p>
        </w:tc>
        <w:tc>
          <w:tcPr>
            <w:tcW w:w="3257" w:type="dxa"/>
            <w:tcBorders>
              <w:top w:val="single" w:sz="4" w:space="0" w:color="9DD5D7"/>
              <w:bottom w:val="single" w:sz="4" w:space="0" w:color="9DD5D7"/>
            </w:tcBorders>
          </w:tcPr>
          <w:p w:rsidR="00463579" w:rsidRPr="00E156EA" w:rsidRDefault="00463579" w:rsidP="00463579">
            <w:pPr>
              <w:pStyle w:val="TableofFigures"/>
            </w:pPr>
            <w:r w:rsidRPr="00E156EA">
              <w:t xml:space="preserve">That average daily electricity usage is representative of actual daily electricity usage over the period of </w:t>
            </w:r>
            <w:r>
              <w:t>MFW.</w:t>
            </w:r>
          </w:p>
        </w:tc>
      </w:tr>
      <w:tr w:rsidR="00463579" w:rsidTr="001448BB">
        <w:tc>
          <w:tcPr>
            <w:tcW w:w="3256" w:type="dxa"/>
            <w:tcBorders>
              <w:top w:val="single" w:sz="4" w:space="0" w:color="9DD5D7"/>
              <w:bottom w:val="single" w:sz="4" w:space="0" w:color="9DD5D7"/>
            </w:tcBorders>
          </w:tcPr>
          <w:p w:rsidR="00463579" w:rsidRPr="00F81248" w:rsidRDefault="00463579" w:rsidP="00463579">
            <w:pPr>
              <w:pStyle w:val="TableofFigur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Construct</w:t>
            </w:r>
            <w:r w:rsidR="00892971">
              <w:rPr>
                <w:color w:val="000000" w:themeColor="text1"/>
              </w:rPr>
              <w:t>ion Materials and Services</w:t>
            </w:r>
          </w:p>
        </w:tc>
        <w:tc>
          <w:tcPr>
            <w:tcW w:w="3256" w:type="dxa"/>
            <w:tcBorders>
              <w:top w:val="single" w:sz="4" w:space="0" w:color="9DD5D7"/>
              <w:bottom w:val="single" w:sz="4" w:space="0" w:color="9DD5D7"/>
            </w:tcBorders>
          </w:tcPr>
          <w:p w:rsidR="00463579" w:rsidRPr="00B57DC1" w:rsidRDefault="00463579" w:rsidP="00463579">
            <w:pPr>
              <w:pStyle w:val="TableofFigures"/>
            </w:pPr>
            <w:r>
              <w:t>All</w:t>
            </w:r>
            <w:r w:rsidRPr="00E156EA">
              <w:t xml:space="preserve"> provider</w:t>
            </w:r>
            <w:r>
              <w:t>s</w:t>
            </w:r>
            <w:r w:rsidRPr="00E156EA">
              <w:t xml:space="preserve"> of construction services will present all relevant construction material costs on a data collection sheet</w:t>
            </w:r>
            <w:r>
              <w:t xml:space="preserve"> provided ahead of construction. All providers will be briefed on the requirements of data collection.</w:t>
            </w:r>
          </w:p>
        </w:tc>
        <w:tc>
          <w:tcPr>
            <w:tcW w:w="3257" w:type="dxa"/>
            <w:tcBorders>
              <w:top w:val="single" w:sz="4" w:space="0" w:color="9DD5D7"/>
              <w:bottom w:val="single" w:sz="4" w:space="0" w:color="9DD5D7"/>
            </w:tcBorders>
          </w:tcPr>
          <w:p w:rsidR="00463579" w:rsidRPr="00B57DC1" w:rsidRDefault="00463579" w:rsidP="00463579">
            <w:pPr>
              <w:pStyle w:val="TableofFigures"/>
            </w:pPr>
          </w:p>
        </w:tc>
      </w:tr>
      <w:tr w:rsidR="00463579" w:rsidTr="001448BB">
        <w:tc>
          <w:tcPr>
            <w:tcW w:w="3256" w:type="dxa"/>
            <w:tcBorders>
              <w:top w:val="single" w:sz="4" w:space="0" w:color="9DD5D7"/>
            </w:tcBorders>
          </w:tcPr>
          <w:p w:rsidR="00463579" w:rsidRDefault="00463579" w:rsidP="00463579">
            <w:pPr>
              <w:pStyle w:val="TableofFigur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Professional Services</w:t>
            </w:r>
          </w:p>
        </w:tc>
        <w:tc>
          <w:tcPr>
            <w:tcW w:w="3256" w:type="dxa"/>
            <w:tcBorders>
              <w:top w:val="single" w:sz="4" w:space="0" w:color="9DD5D7"/>
            </w:tcBorders>
          </w:tcPr>
          <w:p w:rsidR="00463579" w:rsidRPr="00E156EA" w:rsidRDefault="00463579" w:rsidP="00463579">
            <w:pPr>
              <w:pStyle w:val="TableofFigures"/>
            </w:pPr>
            <w:r w:rsidRPr="00E156EA">
              <w:t>All invoices for the various professional services will be provided by event management staff</w:t>
            </w:r>
            <w:r>
              <w:t>.</w:t>
            </w:r>
          </w:p>
        </w:tc>
        <w:tc>
          <w:tcPr>
            <w:tcW w:w="3257" w:type="dxa"/>
            <w:tcBorders>
              <w:top w:val="single" w:sz="4" w:space="0" w:color="9DD5D7"/>
            </w:tcBorders>
          </w:tcPr>
          <w:p w:rsidR="00463579" w:rsidRPr="00B57DC1" w:rsidRDefault="00463579" w:rsidP="00463579">
            <w:pPr>
              <w:pStyle w:val="TableofFigures"/>
            </w:pPr>
          </w:p>
        </w:tc>
      </w:tr>
    </w:tbl>
    <w:p w:rsidR="00463579" w:rsidRDefault="00463579" w:rsidP="00463579">
      <w:pPr>
        <w:rPr>
          <w:lang w:val="en-US"/>
        </w:rPr>
        <w:sectPr w:rsidR="00463579" w:rsidSect="00EF11AE">
          <w:endnotePr>
            <w:numFmt w:val="decimal"/>
          </w:endnotePr>
          <w:pgSz w:w="11900" w:h="16840"/>
          <w:pgMar w:top="1418" w:right="987" w:bottom="1134" w:left="1134" w:header="709" w:footer="709" w:gutter="0"/>
          <w:cols w:space="708"/>
          <w:docGrid w:linePitch="360"/>
        </w:sectPr>
      </w:pPr>
    </w:p>
    <w:p w:rsidR="00463579" w:rsidRPr="00063950" w:rsidRDefault="00463579" w:rsidP="00463579">
      <w:pPr>
        <w:pStyle w:val="Heading1"/>
        <w:numPr>
          <w:ilvl w:val="0"/>
          <w:numId w:val="20"/>
        </w:numPr>
        <w:ind w:left="426" w:hanging="437"/>
        <w:rPr>
          <w:rFonts w:hint="eastAsia"/>
          <w:bCs w:val="0"/>
          <w:color w:val="033323"/>
        </w:rPr>
      </w:pPr>
      <w:r w:rsidRPr="00063950">
        <w:rPr>
          <w:bCs w:val="0"/>
          <w:color w:val="033323"/>
        </w:rPr>
        <w:lastRenderedPageBreak/>
        <w:t>Eligible offset units</w:t>
      </w:r>
    </w:p>
    <w:p w:rsidR="00B1094D" w:rsidRPr="001448BB" w:rsidRDefault="00B1094D" w:rsidP="00034B17">
      <w:pPr>
        <w:spacing w:after="0"/>
        <w:rPr>
          <w:b/>
          <w:lang w:val="en-US"/>
        </w:rPr>
      </w:pPr>
      <w:r w:rsidRPr="001448BB">
        <w:rPr>
          <w:b/>
          <w:lang w:val="en-US"/>
        </w:rPr>
        <w:t>Table 3: Offsets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992"/>
        <w:gridCol w:w="1276"/>
        <w:gridCol w:w="3118"/>
        <w:gridCol w:w="1276"/>
        <w:gridCol w:w="1525"/>
      </w:tblGrid>
      <w:tr w:rsidR="00B1094D" w:rsidTr="001448BB">
        <w:tc>
          <w:tcPr>
            <w:tcW w:w="4106" w:type="dxa"/>
            <w:tcBorders>
              <w:top w:val="nil"/>
              <w:left w:val="nil"/>
              <w:bottom w:val="single" w:sz="4" w:space="0" w:color="9DD5D7"/>
              <w:right w:val="nil"/>
            </w:tcBorders>
            <w:shd w:val="clear" w:color="auto" w:fill="E6F4F3"/>
          </w:tcPr>
          <w:p w:rsidR="00B1094D" w:rsidRPr="00B1094D" w:rsidRDefault="00B1094D" w:rsidP="00B1094D">
            <w:pPr>
              <w:pStyle w:val="TableofFigures"/>
              <w:rPr>
                <w:b/>
              </w:rPr>
            </w:pPr>
            <w:r w:rsidRPr="00B1094D">
              <w:rPr>
                <w:b/>
              </w:rPr>
              <w:t xml:space="preserve">Project description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DD5D7"/>
              <w:right w:val="nil"/>
            </w:tcBorders>
            <w:shd w:val="clear" w:color="auto" w:fill="E6F4F3"/>
          </w:tcPr>
          <w:p w:rsidR="00B1094D" w:rsidRPr="00B1094D" w:rsidRDefault="00B1094D" w:rsidP="00B1094D">
            <w:pPr>
              <w:pStyle w:val="TableofFigures"/>
              <w:rPr>
                <w:b/>
              </w:rPr>
            </w:pPr>
            <w:r w:rsidRPr="00B1094D">
              <w:rPr>
                <w:b/>
              </w:rPr>
              <w:t xml:space="preserve">Type of offset units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DD5D7"/>
              <w:right w:val="nil"/>
            </w:tcBorders>
            <w:shd w:val="clear" w:color="auto" w:fill="E6F4F3"/>
          </w:tcPr>
          <w:p w:rsidR="00B1094D" w:rsidRPr="00B1094D" w:rsidRDefault="00B1094D" w:rsidP="00B1094D">
            <w:pPr>
              <w:pStyle w:val="TableofFigures"/>
              <w:rPr>
                <w:b/>
              </w:rPr>
            </w:pPr>
            <w:r w:rsidRPr="00B1094D">
              <w:rPr>
                <w:b/>
              </w:rPr>
              <w:t xml:space="preserve">Registry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DD5D7"/>
              <w:right w:val="nil"/>
            </w:tcBorders>
            <w:shd w:val="clear" w:color="auto" w:fill="E6F4F3"/>
          </w:tcPr>
          <w:p w:rsidR="00B1094D" w:rsidRPr="00B1094D" w:rsidRDefault="00B1094D" w:rsidP="00B1094D">
            <w:pPr>
              <w:pStyle w:val="TableofFigures"/>
              <w:rPr>
                <w:b/>
              </w:rPr>
            </w:pPr>
            <w:r w:rsidRPr="00B1094D">
              <w:rPr>
                <w:b/>
              </w:rPr>
              <w:t xml:space="preserve">Date retired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DD5D7"/>
              <w:right w:val="nil"/>
            </w:tcBorders>
            <w:shd w:val="clear" w:color="auto" w:fill="E6F4F3"/>
          </w:tcPr>
          <w:p w:rsidR="00B1094D" w:rsidRPr="00B1094D" w:rsidRDefault="00B1094D" w:rsidP="00B1094D">
            <w:pPr>
              <w:pStyle w:val="TableofFigures"/>
              <w:rPr>
                <w:b/>
              </w:rPr>
            </w:pPr>
            <w:r w:rsidRPr="00B1094D">
              <w:rPr>
                <w:b/>
              </w:rPr>
              <w:t>Serial number (and hyperlink to registry transaction record)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DD5D7"/>
              <w:right w:val="nil"/>
            </w:tcBorders>
            <w:shd w:val="clear" w:color="auto" w:fill="E6F4F3"/>
          </w:tcPr>
          <w:p w:rsidR="00B1094D" w:rsidRPr="00B1094D" w:rsidRDefault="00B1094D" w:rsidP="00B1094D">
            <w:pPr>
              <w:pStyle w:val="TableofFigures"/>
              <w:rPr>
                <w:b/>
              </w:rPr>
            </w:pPr>
            <w:r w:rsidRPr="00B1094D">
              <w:rPr>
                <w:b/>
              </w:rPr>
              <w:t xml:space="preserve">Vintage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9DD5D7"/>
              <w:right w:val="nil"/>
            </w:tcBorders>
            <w:shd w:val="clear" w:color="auto" w:fill="E6F4F3"/>
          </w:tcPr>
          <w:p w:rsidR="00B1094D" w:rsidRPr="00B1094D" w:rsidRDefault="00B1094D" w:rsidP="00B1094D">
            <w:pPr>
              <w:pStyle w:val="TableofFigures"/>
              <w:rPr>
                <w:b/>
              </w:rPr>
            </w:pPr>
            <w:r w:rsidRPr="00B1094D">
              <w:rPr>
                <w:b/>
              </w:rPr>
              <w:t>Quantity (tonnes CO</w:t>
            </w:r>
            <w:r w:rsidRPr="00B1094D">
              <w:rPr>
                <w:rFonts w:ascii="Arial Bold" w:hAnsi="Arial Bold"/>
                <w:b/>
                <w:vertAlign w:val="subscript"/>
              </w:rPr>
              <w:t>2</w:t>
            </w:r>
            <w:r w:rsidRPr="00B1094D">
              <w:rPr>
                <w:b/>
              </w:rPr>
              <w:t>-e)</w:t>
            </w:r>
          </w:p>
        </w:tc>
      </w:tr>
      <w:tr w:rsidR="00B1094D" w:rsidTr="001448BB">
        <w:tc>
          <w:tcPr>
            <w:tcW w:w="4106" w:type="dxa"/>
            <w:tcBorders>
              <w:top w:val="single" w:sz="4" w:space="0" w:color="9DD5D7"/>
              <w:left w:val="nil"/>
              <w:bottom w:val="single" w:sz="4" w:space="0" w:color="9DD5D7"/>
              <w:right w:val="nil"/>
            </w:tcBorders>
          </w:tcPr>
          <w:p w:rsidR="00B1094D" w:rsidRPr="007F41BB" w:rsidRDefault="00B1094D" w:rsidP="00B1094D">
            <w:pPr>
              <w:pStyle w:val="TableofFigures"/>
            </w:pPr>
            <w:r w:rsidRPr="007F41BB">
              <w:t>Boobera Native Forest Regeneration: Restoring native forests and sequestering carbon on degraded agricultural land.</w:t>
            </w:r>
          </w:p>
        </w:tc>
        <w:tc>
          <w:tcPr>
            <w:tcW w:w="1985" w:type="dxa"/>
            <w:tcBorders>
              <w:top w:val="single" w:sz="4" w:space="0" w:color="9DD5D7"/>
              <w:left w:val="nil"/>
              <w:bottom w:val="single" w:sz="4" w:space="0" w:color="9DD5D7"/>
              <w:right w:val="nil"/>
            </w:tcBorders>
          </w:tcPr>
          <w:p w:rsidR="00B1094D" w:rsidRPr="007F41BB" w:rsidRDefault="00B1094D" w:rsidP="00B1094D">
            <w:pPr>
              <w:pStyle w:val="TableofFigures"/>
            </w:pPr>
            <w:r w:rsidRPr="007F41BB">
              <w:t>ACCUs</w:t>
            </w:r>
          </w:p>
        </w:tc>
        <w:tc>
          <w:tcPr>
            <w:tcW w:w="992" w:type="dxa"/>
            <w:tcBorders>
              <w:top w:val="single" w:sz="4" w:space="0" w:color="9DD5D7"/>
              <w:left w:val="nil"/>
              <w:bottom w:val="single" w:sz="4" w:space="0" w:color="9DD5D7"/>
              <w:right w:val="nil"/>
            </w:tcBorders>
          </w:tcPr>
          <w:p w:rsidR="00B1094D" w:rsidRPr="007F41BB" w:rsidRDefault="00B1094D" w:rsidP="00B1094D">
            <w:pPr>
              <w:pStyle w:val="TableofFigures"/>
            </w:pPr>
            <w:r w:rsidRPr="007F41BB">
              <w:t>ANREU</w:t>
            </w:r>
          </w:p>
        </w:tc>
        <w:tc>
          <w:tcPr>
            <w:tcW w:w="1276" w:type="dxa"/>
            <w:tcBorders>
              <w:top w:val="single" w:sz="4" w:space="0" w:color="9DD5D7"/>
              <w:left w:val="nil"/>
              <w:bottom w:val="single" w:sz="4" w:space="0" w:color="9DD5D7"/>
              <w:right w:val="nil"/>
            </w:tcBorders>
          </w:tcPr>
          <w:p w:rsidR="00B1094D" w:rsidRPr="007F41BB" w:rsidRDefault="00B1094D" w:rsidP="00B1094D">
            <w:pPr>
              <w:pStyle w:val="TableofFigures"/>
            </w:pPr>
            <w:r w:rsidRPr="007F41BB">
              <w:t>03/06/2020</w:t>
            </w:r>
          </w:p>
        </w:tc>
        <w:tc>
          <w:tcPr>
            <w:tcW w:w="3118" w:type="dxa"/>
            <w:tcBorders>
              <w:top w:val="single" w:sz="4" w:space="0" w:color="9DD5D7"/>
              <w:left w:val="nil"/>
              <w:bottom w:val="single" w:sz="4" w:space="0" w:color="9DD5D7"/>
              <w:right w:val="nil"/>
            </w:tcBorders>
          </w:tcPr>
          <w:p w:rsidR="00B1094D" w:rsidRPr="007F41BB" w:rsidRDefault="00B1094D" w:rsidP="00B1094D">
            <w:pPr>
              <w:pStyle w:val="TableofFigures"/>
            </w:pPr>
            <w:r w:rsidRPr="007F41BB">
              <w:t>3,792,963,615 – 3,792,964,614</w:t>
            </w:r>
          </w:p>
        </w:tc>
        <w:tc>
          <w:tcPr>
            <w:tcW w:w="1276" w:type="dxa"/>
            <w:tcBorders>
              <w:top w:val="single" w:sz="4" w:space="0" w:color="9DD5D7"/>
              <w:left w:val="nil"/>
              <w:bottom w:val="single" w:sz="4" w:space="0" w:color="9DD5D7"/>
              <w:right w:val="nil"/>
            </w:tcBorders>
          </w:tcPr>
          <w:p w:rsidR="00B1094D" w:rsidRPr="007F41BB" w:rsidRDefault="00B1094D" w:rsidP="00B1094D">
            <w:pPr>
              <w:pStyle w:val="TableofFigures"/>
            </w:pPr>
            <w:r w:rsidRPr="007F41BB">
              <w:t>2019-20</w:t>
            </w:r>
          </w:p>
        </w:tc>
        <w:tc>
          <w:tcPr>
            <w:tcW w:w="1525" w:type="dxa"/>
            <w:tcBorders>
              <w:top w:val="single" w:sz="4" w:space="0" w:color="9DD5D7"/>
              <w:left w:val="nil"/>
              <w:bottom w:val="single" w:sz="4" w:space="0" w:color="9DD5D7"/>
              <w:right w:val="nil"/>
            </w:tcBorders>
          </w:tcPr>
          <w:p w:rsidR="00B1094D" w:rsidRPr="007F41BB" w:rsidRDefault="00B1094D" w:rsidP="001448BB">
            <w:pPr>
              <w:pStyle w:val="TableofFigures"/>
              <w:jc w:val="right"/>
            </w:pPr>
            <w:r w:rsidRPr="007F41BB">
              <w:t>671</w:t>
            </w:r>
          </w:p>
        </w:tc>
      </w:tr>
      <w:tr w:rsidR="00B1094D" w:rsidTr="001448BB">
        <w:tc>
          <w:tcPr>
            <w:tcW w:w="12753" w:type="dxa"/>
            <w:gridSpan w:val="6"/>
            <w:tcBorders>
              <w:top w:val="single" w:sz="4" w:space="0" w:color="9DD5D7"/>
              <w:left w:val="nil"/>
              <w:bottom w:val="single" w:sz="4" w:space="0" w:color="9DD5D7"/>
              <w:right w:val="nil"/>
            </w:tcBorders>
          </w:tcPr>
          <w:p w:rsidR="00B1094D" w:rsidRPr="00B1094D" w:rsidRDefault="00B1094D" w:rsidP="00B1094D">
            <w:pPr>
              <w:pStyle w:val="TableofFigures"/>
              <w:rPr>
                <w:b/>
              </w:rPr>
            </w:pPr>
            <w:r w:rsidRPr="00B1094D">
              <w:rPr>
                <w:b/>
              </w:rPr>
              <w:t>Total offsets cancelled</w:t>
            </w:r>
          </w:p>
        </w:tc>
        <w:tc>
          <w:tcPr>
            <w:tcW w:w="1525" w:type="dxa"/>
            <w:tcBorders>
              <w:top w:val="single" w:sz="4" w:space="0" w:color="9DD5D7"/>
              <w:left w:val="nil"/>
              <w:bottom w:val="single" w:sz="4" w:space="0" w:color="9DD5D7"/>
              <w:right w:val="nil"/>
            </w:tcBorders>
            <w:shd w:val="clear" w:color="auto" w:fill="E6F4F3"/>
          </w:tcPr>
          <w:p w:rsidR="00B1094D" w:rsidRPr="00B1094D" w:rsidRDefault="00B1094D" w:rsidP="001448BB">
            <w:pPr>
              <w:pStyle w:val="TableofFigures"/>
              <w:jc w:val="right"/>
              <w:rPr>
                <w:b/>
              </w:rPr>
            </w:pPr>
            <w:r w:rsidRPr="00B1094D">
              <w:rPr>
                <w:b/>
              </w:rPr>
              <w:t>671</w:t>
            </w:r>
          </w:p>
        </w:tc>
      </w:tr>
    </w:tbl>
    <w:p w:rsidR="00B1094D" w:rsidRDefault="00B1094D" w:rsidP="00B1094D">
      <w:pPr>
        <w:spacing w:before="240"/>
        <w:rPr>
          <w:lang w:val="en-US"/>
        </w:rPr>
      </w:pPr>
      <w:r w:rsidRPr="00B1094D">
        <w:rPr>
          <w:lang w:val="en-US"/>
        </w:rPr>
        <w:t>The City of Melbourne’s offset provider has pre-retired all 1000 ACCUs from this project. With these 671 offset units attributed to Melbourne Fashion Week 2021, 329 units remain and will be attributed to future City of Me</w:t>
      </w:r>
      <w:r>
        <w:rPr>
          <w:lang w:val="en-US"/>
        </w:rPr>
        <w:t>lbourne carbon neutral events.</w:t>
      </w:r>
    </w:p>
    <w:p w:rsidR="00B1094D" w:rsidRPr="00B1094D" w:rsidRDefault="00B1094D" w:rsidP="00B1094D">
      <w:pPr>
        <w:rPr>
          <w:lang w:val="en-US"/>
        </w:rPr>
        <w:sectPr w:rsidR="00B1094D" w:rsidRPr="00B1094D" w:rsidSect="00463579">
          <w:endnotePr>
            <w:numFmt w:val="decimal"/>
          </w:endnotePr>
          <w:pgSz w:w="16840" w:h="11900" w:orient="landscape"/>
          <w:pgMar w:top="1134" w:right="1418" w:bottom="987" w:left="1134" w:header="709" w:footer="709" w:gutter="0"/>
          <w:cols w:space="708"/>
          <w:docGrid w:linePitch="360"/>
        </w:sectPr>
      </w:pPr>
    </w:p>
    <w:p w:rsidR="00463579" w:rsidRPr="00063950" w:rsidRDefault="00B1094D" w:rsidP="00B1094D">
      <w:pPr>
        <w:pStyle w:val="Heading1"/>
        <w:numPr>
          <w:ilvl w:val="0"/>
          <w:numId w:val="20"/>
        </w:numPr>
        <w:ind w:left="426" w:hanging="437"/>
        <w:rPr>
          <w:rFonts w:hint="eastAsia"/>
          <w:color w:val="033323"/>
        </w:rPr>
      </w:pPr>
      <w:r w:rsidRPr="00063950">
        <w:rPr>
          <w:color w:val="033323"/>
        </w:rPr>
        <w:lastRenderedPageBreak/>
        <w:t>Use of certification trade mark</w:t>
      </w:r>
    </w:p>
    <w:p w:rsidR="00B1094D" w:rsidRPr="001448BB" w:rsidRDefault="00B1094D" w:rsidP="00B1094D">
      <w:pPr>
        <w:spacing w:after="0"/>
        <w:rPr>
          <w:b/>
          <w:lang w:val="en-US"/>
        </w:rPr>
      </w:pPr>
      <w:r w:rsidRPr="001448BB">
        <w:rPr>
          <w:b/>
          <w:lang w:val="en-US"/>
        </w:rPr>
        <w:t>Table 4: Trade mark register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9DD5D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B1094D" w:rsidTr="001448BB">
        <w:tc>
          <w:tcPr>
            <w:tcW w:w="5382" w:type="dxa"/>
            <w:tcBorders>
              <w:bottom w:val="single" w:sz="4" w:space="0" w:color="9DD5D7"/>
            </w:tcBorders>
            <w:shd w:val="clear" w:color="auto" w:fill="9DD5D7"/>
          </w:tcPr>
          <w:p w:rsidR="00B1094D" w:rsidRPr="00B1094D" w:rsidRDefault="00B1094D" w:rsidP="00B1094D">
            <w:pPr>
              <w:pStyle w:val="TableofFigures"/>
              <w:rPr>
                <w:b/>
              </w:rPr>
            </w:pPr>
            <w:r w:rsidRPr="00B1094D">
              <w:rPr>
                <w:b/>
              </w:rPr>
              <w:t>Description where trademark used</w:t>
            </w:r>
          </w:p>
        </w:tc>
        <w:tc>
          <w:tcPr>
            <w:tcW w:w="4111" w:type="dxa"/>
            <w:tcBorders>
              <w:bottom w:val="single" w:sz="4" w:space="0" w:color="9DD5D7"/>
            </w:tcBorders>
            <w:shd w:val="clear" w:color="auto" w:fill="9DD5D7"/>
          </w:tcPr>
          <w:p w:rsidR="00B1094D" w:rsidRPr="00B1094D" w:rsidRDefault="00B1094D" w:rsidP="00B1094D">
            <w:pPr>
              <w:pStyle w:val="TableofFigures"/>
              <w:rPr>
                <w:b/>
              </w:rPr>
            </w:pPr>
            <w:r w:rsidRPr="00B1094D">
              <w:rPr>
                <w:b/>
              </w:rPr>
              <w:t>Logo</w:t>
            </w:r>
          </w:p>
        </w:tc>
      </w:tr>
      <w:tr w:rsidR="00B1094D" w:rsidTr="001448BB">
        <w:tc>
          <w:tcPr>
            <w:tcW w:w="5382" w:type="dxa"/>
            <w:tcBorders>
              <w:top w:val="single" w:sz="4" w:space="0" w:color="9DD5D7"/>
              <w:bottom w:val="single" w:sz="4" w:space="0" w:color="9DD5D7"/>
            </w:tcBorders>
          </w:tcPr>
          <w:p w:rsidR="00B1094D" w:rsidRDefault="00B1094D" w:rsidP="00B1094D">
            <w:pPr>
              <w:pStyle w:val="TableofFigures"/>
            </w:pPr>
            <w:r>
              <w:t>Melbourne Fashion Week Website</w:t>
            </w:r>
          </w:p>
        </w:tc>
        <w:tc>
          <w:tcPr>
            <w:tcW w:w="4111" w:type="dxa"/>
            <w:tcBorders>
              <w:top w:val="single" w:sz="4" w:space="0" w:color="9DD5D7"/>
              <w:bottom w:val="single" w:sz="4" w:space="0" w:color="9DD5D7"/>
            </w:tcBorders>
          </w:tcPr>
          <w:p w:rsidR="00B1094D" w:rsidRDefault="00B1094D" w:rsidP="00B1094D">
            <w:pPr>
              <w:pStyle w:val="TableofFigures"/>
            </w:pPr>
            <w:r>
              <w:t>Certified event</w:t>
            </w:r>
          </w:p>
        </w:tc>
      </w:tr>
      <w:tr w:rsidR="00B1094D" w:rsidTr="001448BB">
        <w:tc>
          <w:tcPr>
            <w:tcW w:w="5382" w:type="dxa"/>
            <w:tcBorders>
              <w:top w:val="single" w:sz="4" w:space="0" w:color="9DD5D7"/>
            </w:tcBorders>
          </w:tcPr>
          <w:p w:rsidR="00B1094D" w:rsidRDefault="00B1094D" w:rsidP="00B1094D">
            <w:pPr>
              <w:pStyle w:val="TableofFigures"/>
            </w:pPr>
            <w:r>
              <w:t>Digital and promotional material</w:t>
            </w:r>
          </w:p>
        </w:tc>
        <w:tc>
          <w:tcPr>
            <w:tcW w:w="4111" w:type="dxa"/>
            <w:tcBorders>
              <w:top w:val="single" w:sz="4" w:space="0" w:color="9DD5D7"/>
            </w:tcBorders>
          </w:tcPr>
          <w:p w:rsidR="00B1094D" w:rsidRDefault="00B1094D" w:rsidP="00B1094D">
            <w:pPr>
              <w:pStyle w:val="TableofFigures"/>
            </w:pPr>
            <w:r>
              <w:t>Certified event</w:t>
            </w:r>
          </w:p>
        </w:tc>
      </w:tr>
    </w:tbl>
    <w:p w:rsidR="00B1094D" w:rsidRPr="00B1094D" w:rsidRDefault="00892971" w:rsidP="00892971">
      <w:pPr>
        <w:spacing w:before="480"/>
        <w:jc w:val="center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77793298" wp14:editId="7F96E342">
            <wp:extent cx="5470984" cy="4470822"/>
            <wp:effectExtent l="0" t="0" r="0" b="6350"/>
            <wp:docPr id="9" name="Picture 9" descr="Screenshot of carbon credits retired on behalf of City of Melbour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831" cy="4483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094D" w:rsidRPr="00B1094D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A0" w:rsidRDefault="00D240A0" w:rsidP="00BC719D">
      <w:pPr>
        <w:spacing w:after="0"/>
      </w:pPr>
      <w:r>
        <w:separator/>
      </w:r>
    </w:p>
  </w:endnote>
  <w:endnote w:type="continuationSeparator" w:id="0">
    <w:p w:rsidR="00D240A0" w:rsidRDefault="00D240A0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FF" w:rsidRDefault="003A7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FF" w:rsidRDefault="003A7B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FF" w:rsidRDefault="003A7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A0" w:rsidRDefault="00D240A0" w:rsidP="00577A39">
      <w:pPr>
        <w:spacing w:after="40" w:line="240" w:lineRule="auto"/>
      </w:pPr>
      <w:r>
        <w:separator/>
      </w:r>
    </w:p>
  </w:footnote>
  <w:footnote w:type="continuationSeparator" w:id="0">
    <w:p w:rsidR="00D240A0" w:rsidRDefault="00D240A0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FF" w:rsidRDefault="003A7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FF" w:rsidRDefault="003A7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FF" w:rsidRDefault="003A7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15616BEF"/>
    <w:multiLevelType w:val="hybridMultilevel"/>
    <w:tmpl w:val="0AA018CC"/>
    <w:lvl w:ilvl="0" w:tplc="C3FE80E6">
      <w:start w:val="1"/>
      <w:numFmt w:val="bullet"/>
      <w:pStyle w:val="Blueguidanc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29EC6CD1"/>
    <w:multiLevelType w:val="hybridMultilevel"/>
    <w:tmpl w:val="C242FACC"/>
    <w:lvl w:ilvl="0" w:tplc="E98668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2B5D1C"/>
    <w:multiLevelType w:val="multilevel"/>
    <w:tmpl w:val="16506B6C"/>
    <w:numStyleLink w:val="ListNumbers"/>
  </w:abstractNum>
  <w:abstractNum w:abstractNumId="8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10957"/>
    <w:multiLevelType w:val="multilevel"/>
    <w:tmpl w:val="16506B6C"/>
    <w:numStyleLink w:val="ListNumbers"/>
  </w:abstractNum>
  <w:abstractNum w:abstractNumId="10" w15:restartNumberingAfterBreak="0">
    <w:nsid w:val="43107E29"/>
    <w:multiLevelType w:val="hybridMultilevel"/>
    <w:tmpl w:val="2CFE7BF0"/>
    <w:lvl w:ilvl="0" w:tplc="44D64A1A">
      <w:start w:val="8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73BB8"/>
    <w:multiLevelType w:val="multilevel"/>
    <w:tmpl w:val="8856BBD4"/>
    <w:lvl w:ilvl="0">
      <w:start w:val="89"/>
      <w:numFmt w:val="bullet"/>
      <w:lvlText w:val="-"/>
      <w:lvlJc w:val="left"/>
      <w:pPr>
        <w:ind w:left="357" w:hanging="357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12" w15:restartNumberingAfterBreak="0">
    <w:nsid w:val="5C68425D"/>
    <w:multiLevelType w:val="hybridMultilevel"/>
    <w:tmpl w:val="44BE8160"/>
    <w:lvl w:ilvl="0" w:tplc="005633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D114F"/>
    <w:multiLevelType w:val="hybridMultilevel"/>
    <w:tmpl w:val="741E09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C1EFD"/>
    <w:multiLevelType w:val="hybridMultilevel"/>
    <w:tmpl w:val="292CC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209CA"/>
    <w:multiLevelType w:val="multilevel"/>
    <w:tmpl w:val="16506B6C"/>
    <w:numStyleLink w:val="ListNumbers"/>
  </w:abstractNum>
  <w:abstractNum w:abstractNumId="17" w15:restartNumberingAfterBreak="0">
    <w:nsid w:val="7A2C43DC"/>
    <w:multiLevelType w:val="multilevel"/>
    <w:tmpl w:val="16506B6C"/>
    <w:numStyleLink w:val="ListNumbers"/>
  </w:abstractNum>
  <w:abstractNum w:abstractNumId="18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4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6"/>
  </w:num>
  <w:num w:numId="19">
    <w:abstractNumId w:val="13"/>
  </w:num>
  <w:num w:numId="20">
    <w:abstractNumId w:val="12"/>
  </w:num>
  <w:num w:numId="21">
    <w:abstractNumId w:val="4"/>
  </w:num>
  <w:num w:numId="22">
    <w:abstractNumId w:val="10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>
      <o:colormenu v:ext="edit" fillcolor="#033323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A0"/>
    <w:rsid w:val="00020B35"/>
    <w:rsid w:val="00034B17"/>
    <w:rsid w:val="000437C5"/>
    <w:rsid w:val="000474AE"/>
    <w:rsid w:val="00063950"/>
    <w:rsid w:val="00071857"/>
    <w:rsid w:val="000A2BDA"/>
    <w:rsid w:val="000A48D5"/>
    <w:rsid w:val="000B5EAA"/>
    <w:rsid w:val="000F3535"/>
    <w:rsid w:val="00135EF4"/>
    <w:rsid w:val="001448BB"/>
    <w:rsid w:val="00190B0E"/>
    <w:rsid w:val="001B51BF"/>
    <w:rsid w:val="001F46B4"/>
    <w:rsid w:val="001F554D"/>
    <w:rsid w:val="002436A6"/>
    <w:rsid w:val="002438B7"/>
    <w:rsid w:val="0024773F"/>
    <w:rsid w:val="0027445B"/>
    <w:rsid w:val="002D630D"/>
    <w:rsid w:val="002E4153"/>
    <w:rsid w:val="002F47B6"/>
    <w:rsid w:val="002F6A88"/>
    <w:rsid w:val="00312F80"/>
    <w:rsid w:val="00380F44"/>
    <w:rsid w:val="00392688"/>
    <w:rsid w:val="003A7BFF"/>
    <w:rsid w:val="003B2917"/>
    <w:rsid w:val="003D63A8"/>
    <w:rsid w:val="003E2770"/>
    <w:rsid w:val="003E3A9F"/>
    <w:rsid w:val="00407429"/>
    <w:rsid w:val="00417A0B"/>
    <w:rsid w:val="00426584"/>
    <w:rsid w:val="00431D45"/>
    <w:rsid w:val="004564F4"/>
    <w:rsid w:val="00457042"/>
    <w:rsid w:val="00463579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2BA5"/>
    <w:rsid w:val="00577A39"/>
    <w:rsid w:val="005814F5"/>
    <w:rsid w:val="005D30BA"/>
    <w:rsid w:val="005E1D25"/>
    <w:rsid w:val="005F4391"/>
    <w:rsid w:val="00614DE3"/>
    <w:rsid w:val="006256C6"/>
    <w:rsid w:val="00687D4A"/>
    <w:rsid w:val="006A2F63"/>
    <w:rsid w:val="006A3718"/>
    <w:rsid w:val="006C7F7B"/>
    <w:rsid w:val="006E20D7"/>
    <w:rsid w:val="00712950"/>
    <w:rsid w:val="00715B3E"/>
    <w:rsid w:val="0073401D"/>
    <w:rsid w:val="007361D8"/>
    <w:rsid w:val="00737A99"/>
    <w:rsid w:val="00743804"/>
    <w:rsid w:val="00782E37"/>
    <w:rsid w:val="00796D9B"/>
    <w:rsid w:val="007A0AA6"/>
    <w:rsid w:val="007B5536"/>
    <w:rsid w:val="007E291E"/>
    <w:rsid w:val="007F0661"/>
    <w:rsid w:val="007F3CE6"/>
    <w:rsid w:val="00802A52"/>
    <w:rsid w:val="00806F0F"/>
    <w:rsid w:val="00825AFE"/>
    <w:rsid w:val="00831224"/>
    <w:rsid w:val="00850D66"/>
    <w:rsid w:val="00855F84"/>
    <w:rsid w:val="00881C97"/>
    <w:rsid w:val="00892971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094D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216EF"/>
    <w:rsid w:val="00C26F2B"/>
    <w:rsid w:val="00C37F6A"/>
    <w:rsid w:val="00C42412"/>
    <w:rsid w:val="00C73DA2"/>
    <w:rsid w:val="00CA3730"/>
    <w:rsid w:val="00CB6145"/>
    <w:rsid w:val="00CD382D"/>
    <w:rsid w:val="00D00427"/>
    <w:rsid w:val="00D02C4A"/>
    <w:rsid w:val="00D240A0"/>
    <w:rsid w:val="00D77363"/>
    <w:rsid w:val="00E01F6C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#03332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uiPriority w:val="99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Blueguidancetext">
    <w:name w:val="Blue guidance text"/>
    <w:basedOn w:val="Normal"/>
    <w:qFormat/>
    <w:rsid w:val="00743804"/>
    <w:pPr>
      <w:widowControl w:val="0"/>
      <w:tabs>
        <w:tab w:val="left" w:pos="822"/>
      </w:tabs>
      <w:spacing w:after="220" w:line="320" w:lineRule="exact"/>
    </w:pPr>
    <w:rPr>
      <w:rFonts w:eastAsiaTheme="minorHAnsi" w:cstheme="minorBidi"/>
      <w:color w:val="0070C0"/>
      <w:sz w:val="18"/>
      <w:szCs w:val="22"/>
      <w:lang w:val="en-US"/>
    </w:rPr>
  </w:style>
  <w:style w:type="paragraph" w:customStyle="1" w:styleId="Subheading">
    <w:name w:val="Subheading"/>
    <w:basedOn w:val="Normal"/>
    <w:qFormat/>
    <w:rsid w:val="00796D9B"/>
    <w:pPr>
      <w:widowControl w:val="0"/>
      <w:spacing w:before="500" w:after="80" w:line="240" w:lineRule="auto"/>
    </w:pPr>
    <w:rPr>
      <w:rFonts w:eastAsiaTheme="minorHAnsi" w:cs="Times New Roman (Body CS)"/>
      <w:b/>
      <w:color w:val="033323"/>
      <w:spacing w:val="-1"/>
      <w:sz w:val="26"/>
      <w:szCs w:val="22"/>
      <w:lang w:val="en-US"/>
    </w:rPr>
  </w:style>
  <w:style w:type="paragraph" w:customStyle="1" w:styleId="Blueguidancebullets">
    <w:name w:val="Blue guidance bullets"/>
    <w:basedOn w:val="Normal"/>
    <w:qFormat/>
    <w:rsid w:val="00796D9B"/>
    <w:pPr>
      <w:widowControl w:val="0"/>
      <w:numPr>
        <w:numId w:val="21"/>
      </w:numPr>
      <w:tabs>
        <w:tab w:val="left" w:pos="822"/>
      </w:tabs>
      <w:spacing w:before="2" w:after="0" w:line="320" w:lineRule="exact"/>
      <w:ind w:left="357" w:hanging="357"/>
    </w:pPr>
    <w:rPr>
      <w:rFonts w:eastAsiaTheme="minorHAnsi" w:cstheme="minorBidi"/>
      <w:color w:val="0070C0"/>
      <w:sz w:val="18"/>
      <w:szCs w:val="22"/>
      <w:lang w:val="en-US"/>
    </w:rPr>
  </w:style>
  <w:style w:type="paragraph" w:customStyle="1" w:styleId="Tablelastlineitalic">
    <w:name w:val="Table last line italic"/>
    <w:basedOn w:val="Normal"/>
    <w:qFormat/>
    <w:rsid w:val="00796D9B"/>
    <w:pPr>
      <w:widowControl w:val="0"/>
      <w:tabs>
        <w:tab w:val="left" w:pos="822"/>
      </w:tabs>
      <w:spacing w:after="0" w:line="320" w:lineRule="exact"/>
    </w:pPr>
    <w:rPr>
      <w:rFonts w:eastAsiaTheme="minorHAnsi" w:cstheme="minorBidi"/>
      <w:i/>
      <w:color w:val="000000" w:themeColor="text1"/>
      <w:sz w:val="18"/>
      <w:szCs w:val="22"/>
      <w:lang w:val="en-US" w:eastAsia="en-AU"/>
    </w:rPr>
  </w:style>
  <w:style w:type="paragraph" w:customStyle="1" w:styleId="Blackbodytext">
    <w:name w:val="Black body text"/>
    <w:basedOn w:val="Blueguidancetext"/>
    <w:qFormat/>
    <w:rsid w:val="006256C6"/>
    <w:rPr>
      <w:color w:val="000000" w:themeColor="text1"/>
    </w:rPr>
  </w:style>
  <w:style w:type="paragraph" w:customStyle="1" w:styleId="Tabletextblue">
    <w:name w:val="Table text blue"/>
    <w:basedOn w:val="Blueguidancetext"/>
    <w:qFormat/>
    <w:rsid w:val="00463579"/>
    <w:pPr>
      <w:spacing w:after="0"/>
    </w:pPr>
  </w:style>
  <w:style w:type="paragraph" w:customStyle="1" w:styleId="Boldbodytext">
    <w:name w:val="Bold body text"/>
    <w:basedOn w:val="Blackbodytext"/>
    <w:qFormat/>
    <w:rsid w:val="00B1094D"/>
    <w:pPr>
      <w:spacing w:after="0"/>
    </w:pPr>
    <w:rPr>
      <w:b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BE8A27-C31B-42B5-85D9-4FB8C80EF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F9BE73-C610-4778-B5B8-50ECEC6A1529}"/>
</file>

<file path=customXml/itemProps3.xml><?xml version="1.0" encoding="utf-8"?>
<ds:datastoreItem xmlns:ds="http://schemas.openxmlformats.org/officeDocument/2006/customXml" ds:itemID="{038CA399-D331-4B70-B21E-625B27A39262}"/>
</file>

<file path=customXml/itemProps4.xml><?xml version="1.0" encoding="utf-8"?>
<ds:datastoreItem xmlns:ds="http://schemas.openxmlformats.org/officeDocument/2006/customXml" ds:itemID="{5B29A1C9-DB0B-4228-A224-BFB6ECDBB9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1385</Words>
  <Characters>7899</Characters>
  <Application>Microsoft Office Word</Application>
  <DocSecurity>0</DocSecurity>
  <Lines>65</Lines>
  <Paragraphs>18</Paragraphs>
  <ScaleCrop>false</ScaleCrop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Fashion Week Pre-Event Public Disclosure Statement 2020-21</dc:title>
  <dc:subject/>
  <dc:creator>City of Melbourne</dc:creator>
  <cp:keywords/>
  <cp:lastModifiedBy/>
  <cp:revision>1</cp:revision>
  <dcterms:created xsi:type="dcterms:W3CDTF">2021-11-29T07:41:00Z</dcterms:created>
  <dcterms:modified xsi:type="dcterms:W3CDTF">2021-11-29T07:41:00Z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